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0823A" w14:textId="0D544D1B"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6C364B">
        <w:t>53485</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334EDEED" w14:textId="77777777" w:rsidTr="00E710D3">
        <w:trPr>
          <w:trHeight w:val="576"/>
        </w:trPr>
        <w:tc>
          <w:tcPr>
            <w:tcW w:w="4826" w:type="dxa"/>
          </w:tcPr>
          <w:bookmarkStart w:id="2" w:name="DocumentStyle"/>
          <w:p w14:paraId="7940E460" w14:textId="6887ECA8" w:rsidR="00E710D3" w:rsidRPr="00E710D3" w:rsidRDefault="00FE6EDC" w:rsidP="00912358">
            <w:pPr>
              <w:spacing w:after="0" w:line="240" w:lineRule="auto"/>
              <w:ind w:firstLine="0"/>
              <w:jc w:val="left"/>
              <w:rPr>
                <w:b/>
                <w:szCs w:val="20"/>
              </w:rPr>
            </w:pPr>
            <w:sdt>
              <w:sdtPr>
                <w:rPr>
                  <w:b/>
                  <w:caps/>
                  <w:szCs w:val="20"/>
                </w:rPr>
                <w:alias w:val="Case Style"/>
                <w:tag w:val="CS"/>
                <w:id w:val="-920102863"/>
                <w:placeholder>
                  <w:docPart w:val="E053FEC0D1C34B40838726410B2F530F"/>
                </w:placeholder>
                <w15:appearance w15:val="hidden"/>
              </w:sdtPr>
              <w:sdtEndPr/>
              <w:sdtContent>
                <w:r w:rsidR="006C364B">
                  <w:rPr>
                    <w:b/>
                    <w:caps/>
                    <w:szCs w:val="20"/>
                  </w:rPr>
                  <w:t>APPLICATION OF GIDEON WATER LLC FOR A CERTIFICATE OF CONVENIENCE AND NECESSITY IN MONTGOMERY COUNTY</w:t>
                </w:r>
              </w:sdtContent>
            </w:sdt>
            <w:bookmarkEnd w:id="2"/>
            <w:r w:rsidR="00912358">
              <w:rPr>
                <w:b/>
                <w:caps/>
                <w:szCs w:val="20"/>
              </w:rPr>
              <w:t xml:space="preserve"> </w:t>
            </w:r>
          </w:p>
        </w:tc>
        <w:tc>
          <w:tcPr>
            <w:tcW w:w="336" w:type="dxa"/>
            <w:noWrap/>
          </w:tcPr>
          <w:p w14:paraId="2938D630" w14:textId="77777777" w:rsidR="006C364B" w:rsidRDefault="006C364B" w:rsidP="008647EB">
            <w:pPr>
              <w:spacing w:after="0" w:line="240" w:lineRule="auto"/>
              <w:ind w:firstLine="0"/>
              <w:rPr>
                <w:b/>
                <w:szCs w:val="20"/>
              </w:rPr>
            </w:pPr>
            <w:r>
              <w:rPr>
                <w:b/>
                <w:szCs w:val="20"/>
              </w:rPr>
              <w:t>§</w:t>
            </w:r>
          </w:p>
          <w:p w14:paraId="649D48A2" w14:textId="77777777" w:rsidR="006C364B" w:rsidRDefault="006C364B" w:rsidP="008647EB">
            <w:pPr>
              <w:spacing w:after="0" w:line="240" w:lineRule="auto"/>
              <w:ind w:firstLine="0"/>
              <w:rPr>
                <w:b/>
                <w:szCs w:val="20"/>
              </w:rPr>
            </w:pPr>
            <w:r>
              <w:rPr>
                <w:b/>
                <w:szCs w:val="20"/>
              </w:rPr>
              <w:t>§</w:t>
            </w:r>
          </w:p>
          <w:p w14:paraId="51FAC999" w14:textId="77777777" w:rsidR="006C364B" w:rsidRDefault="006C364B" w:rsidP="008647EB">
            <w:pPr>
              <w:spacing w:after="0" w:line="240" w:lineRule="auto"/>
              <w:ind w:firstLine="0"/>
              <w:rPr>
                <w:b/>
                <w:szCs w:val="20"/>
              </w:rPr>
            </w:pPr>
            <w:r>
              <w:rPr>
                <w:b/>
                <w:szCs w:val="20"/>
              </w:rPr>
              <w:t>§</w:t>
            </w:r>
          </w:p>
          <w:p w14:paraId="6F8B710D" w14:textId="1D14DBEF" w:rsidR="00DA790F" w:rsidRPr="008647EB" w:rsidRDefault="006C364B" w:rsidP="008647EB">
            <w:pPr>
              <w:spacing w:after="0" w:line="240" w:lineRule="auto"/>
              <w:ind w:firstLine="0"/>
              <w:rPr>
                <w:b/>
                <w:szCs w:val="20"/>
              </w:rPr>
            </w:pPr>
            <w:r>
              <w:rPr>
                <w:b/>
                <w:szCs w:val="20"/>
              </w:rPr>
              <w:t>§</w:t>
            </w:r>
          </w:p>
        </w:tc>
        <w:tc>
          <w:tcPr>
            <w:tcW w:w="4198" w:type="dxa"/>
          </w:tcPr>
          <w:p w14:paraId="537CFAAE"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CA9C1E5"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780627C"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3CB068E" w14:textId="77777777" w:rsidR="00DA790F" w:rsidRPr="008647EB" w:rsidRDefault="00DA790F" w:rsidP="008647EB">
      <w:pPr>
        <w:spacing w:after="0" w:line="240" w:lineRule="auto"/>
        <w:ind w:firstLine="0"/>
        <w:jc w:val="center"/>
        <w:rPr>
          <w:b/>
          <w:caps/>
        </w:rPr>
      </w:pPr>
    </w:p>
    <w:p w14:paraId="4EC77B55" w14:textId="6C1BB91C" w:rsidR="007C1C19" w:rsidRPr="008647EB" w:rsidRDefault="006C364B" w:rsidP="007C1C19">
      <w:pPr>
        <w:spacing w:after="0" w:line="240" w:lineRule="auto"/>
        <w:ind w:firstLine="0"/>
        <w:jc w:val="center"/>
        <w:rPr>
          <w:b/>
          <w:caps/>
        </w:rPr>
      </w:pPr>
      <w:r>
        <w:rPr>
          <w:b/>
          <w:caps/>
        </w:rPr>
        <w:t xml:space="preserve">JOINT </w:t>
      </w:r>
      <w:r w:rsidR="00106C86">
        <w:rPr>
          <w:b/>
          <w:caps/>
        </w:rPr>
        <w:t>MOTION FOR RECONSIDERATION OF ORDER NO. 20</w:t>
      </w:r>
    </w:p>
    <w:p w14:paraId="55D34E8F" w14:textId="77777777" w:rsidR="007C1C19" w:rsidRPr="008647EB" w:rsidRDefault="007C1C19" w:rsidP="007C1C19">
      <w:pPr>
        <w:pStyle w:val="CaseCaption"/>
        <w:spacing w:after="0"/>
        <w:contextualSpacing w:val="0"/>
      </w:pPr>
    </w:p>
    <w:p w14:paraId="3ABF46BD" w14:textId="38DB9A56" w:rsidR="009129C2" w:rsidRDefault="009129C2" w:rsidP="009129C2">
      <w:pPr>
        <w:pStyle w:val="Heading1"/>
        <w:tabs>
          <w:tab w:val="clear" w:pos="1440"/>
        </w:tabs>
        <w:spacing w:before="0" w:after="0" w:line="360" w:lineRule="auto"/>
        <w:ind w:left="0" w:right="0"/>
      </w:pPr>
      <w:r>
        <w:t>INTRODUCTION</w:t>
      </w:r>
    </w:p>
    <w:p w14:paraId="1665371B" w14:textId="03E56BFC" w:rsidR="009129C2" w:rsidRPr="00800147" w:rsidRDefault="00CD34FC" w:rsidP="009129C2">
      <w:pPr>
        <w:pStyle w:val="Paragraph"/>
      </w:pPr>
      <w:r>
        <w:t>Gideon Water LLC (Gideon Water) and the Staff (Staff) of the</w:t>
      </w:r>
      <w:r w:rsidR="009129C2">
        <w:t xml:space="preserve"> Public Utility Commission of Texas (Commission) </w:t>
      </w:r>
      <w:r>
        <w:t>(collectively, the Parties) respectfully request that the administrative law judge (ALJ) reconsider the decision in Order No. 20 to deny the Parties’ motion for an</w:t>
      </w:r>
      <w:r w:rsidR="009129C2">
        <w:t xml:space="preserve"> Order </w:t>
      </w:r>
      <w:r w:rsidR="009129C2">
        <w:rPr>
          <w:i/>
          <w:iCs/>
        </w:rPr>
        <w:t xml:space="preserve">Nunc Pro Tunc </w:t>
      </w:r>
      <w:r w:rsidR="009129C2">
        <w:t>or</w:t>
      </w:r>
      <w:r>
        <w:t>, alternatively, to reopen the record</w:t>
      </w:r>
      <w:r w:rsidR="00C31533">
        <w:t xml:space="preserve"> to correct a clerical and unintentional error</w:t>
      </w:r>
      <w:r>
        <w:t xml:space="preserve">. Regarding the former, the Parties reiterate </w:t>
      </w:r>
      <w:r w:rsidR="009129C2">
        <w:t xml:space="preserve">that the rates in the water tariff </w:t>
      </w:r>
      <w:r w:rsidR="00CB033B">
        <w:t xml:space="preserve">previously filed on March 6, 2024 and </w:t>
      </w:r>
      <w:r w:rsidR="009129C2">
        <w:t>a</w:t>
      </w:r>
      <w:r>
        <w:t>ttached to th</w:t>
      </w:r>
      <w:r w:rsidR="00CB033B">
        <w:t>is</w:t>
      </w:r>
      <w:r>
        <w:t xml:space="preserve"> motion</w:t>
      </w:r>
      <w:r w:rsidR="009129C2">
        <w:t xml:space="preserve"> are consistent with Gideon Water’s application, Staff’s recommendation on Gideon Water’s application, and the Commission’s Notice of Approval that effectively rendered a judgment approving Gideon Water’s application, </w:t>
      </w:r>
      <w:r w:rsidR="001F4AC5">
        <w:t>including Gideon Water’s proposed rates</w:t>
      </w:r>
      <w:r w:rsidR="002D4D18">
        <w:t>, as originally filed</w:t>
      </w:r>
      <w:r w:rsidR="009129C2">
        <w:t>.</w:t>
      </w:r>
      <w:r>
        <w:t xml:space="preserve"> Specifically, as detailed in this motion, the relevant rates requested by Gideon Water </w:t>
      </w:r>
      <w:r w:rsidR="0023455C">
        <w:t xml:space="preserve">indicate that </w:t>
      </w:r>
      <w:r w:rsidR="006F148A">
        <w:t xml:space="preserve">no </w:t>
      </w:r>
      <w:r>
        <w:t xml:space="preserve">gallonage was contemplated for inclusion as part of the monthly minimum charge. Regarding the latter, to the extent that </w:t>
      </w:r>
      <w:r w:rsidR="00800147">
        <w:t xml:space="preserve">the ALJ continues to deny the </w:t>
      </w:r>
      <w:r w:rsidR="009624EE">
        <w:t xml:space="preserve">motion for </w:t>
      </w:r>
      <w:r w:rsidR="00800147">
        <w:t>Order N</w:t>
      </w:r>
      <w:r w:rsidR="009624EE" w:rsidRPr="00800147">
        <w:rPr>
          <w:i/>
          <w:iCs/>
        </w:rPr>
        <w:t xml:space="preserve">unc </w:t>
      </w:r>
      <w:r w:rsidR="00800147">
        <w:rPr>
          <w:i/>
          <w:iCs/>
        </w:rPr>
        <w:t>P</w:t>
      </w:r>
      <w:r w:rsidR="009624EE" w:rsidRPr="00800147">
        <w:rPr>
          <w:i/>
          <w:iCs/>
        </w:rPr>
        <w:t xml:space="preserve">ro </w:t>
      </w:r>
      <w:r w:rsidR="00800147">
        <w:rPr>
          <w:i/>
          <w:iCs/>
        </w:rPr>
        <w:t>T</w:t>
      </w:r>
      <w:r w:rsidR="009624EE" w:rsidRPr="00800147">
        <w:rPr>
          <w:i/>
          <w:iCs/>
        </w:rPr>
        <w:t>unc</w:t>
      </w:r>
      <w:r w:rsidR="009624EE">
        <w:t>,</w:t>
      </w:r>
      <w:r w:rsidR="009624EE">
        <w:rPr>
          <w:rStyle w:val="FootnoteReference"/>
        </w:rPr>
        <w:footnoteReference w:id="2"/>
      </w:r>
      <w:r>
        <w:t xml:space="preserve"> </w:t>
      </w:r>
      <w:r w:rsidR="00800147">
        <w:t>the Parties respectfully recommend that resolving the error in this proceeding</w:t>
      </w:r>
      <w:r w:rsidR="005E6B59">
        <w:t xml:space="preserve"> by re-opening the record</w:t>
      </w:r>
      <w:r w:rsidR="00800147">
        <w:t xml:space="preserve"> is practical, administratively efficient, and consistent with Commission precedent that resolved errors in a similar manner. As such, Staff respectfully requests the ALJ reconsider the decision in Order No. 20 and grant the motion for Order </w:t>
      </w:r>
      <w:r w:rsidR="00800147">
        <w:rPr>
          <w:i/>
          <w:iCs/>
        </w:rPr>
        <w:t>Nunc Pro Tunc</w:t>
      </w:r>
      <w:r w:rsidR="00800147">
        <w:t>, or alternatively, to reopen the record</w:t>
      </w:r>
      <w:r w:rsidR="005E6B59">
        <w:t xml:space="preserve"> to correct the </w:t>
      </w:r>
      <w:r w:rsidR="00367919">
        <w:t xml:space="preserve">clerical </w:t>
      </w:r>
      <w:r w:rsidR="005E6B59">
        <w:t>error</w:t>
      </w:r>
      <w:r w:rsidR="00367919">
        <w:t xml:space="preserve"> that was only</w:t>
      </w:r>
      <w:r w:rsidR="005E6B59">
        <w:t xml:space="preserve"> </w:t>
      </w:r>
      <w:r w:rsidR="00200659">
        <w:t xml:space="preserve">made </w:t>
      </w:r>
      <w:r w:rsidR="005E6B59">
        <w:t>in the filed tariff</w:t>
      </w:r>
      <w:r w:rsidR="00CB033B">
        <w:t xml:space="preserve"> attached to the Notice of Approval.</w:t>
      </w:r>
      <w:r w:rsidR="00200659">
        <w:t xml:space="preserve"> </w:t>
      </w:r>
      <w:r w:rsidR="00CB033B">
        <w:t xml:space="preserve">As previously stated in this proceeding, making such a </w:t>
      </w:r>
      <w:r w:rsidR="00683938">
        <w:t xml:space="preserve">clerical </w:t>
      </w:r>
      <w:r w:rsidR="00CB033B">
        <w:t xml:space="preserve">correction would align and harmonize with the substance of the Notice of Approval, which, based on the findings of facts therein, </w:t>
      </w:r>
      <w:r w:rsidR="00946284">
        <w:t xml:space="preserve">can </w:t>
      </w:r>
      <w:r w:rsidR="00CB033B">
        <w:t>only be interpreted to have rendered judgment to approve the rates that</w:t>
      </w:r>
      <w:r w:rsidR="00200659">
        <w:t xml:space="preserve"> w</w:t>
      </w:r>
      <w:r w:rsidR="00CB033B">
        <w:t>ere</w:t>
      </w:r>
      <w:r w:rsidR="00200659">
        <w:t xml:space="preserve"> originally </w:t>
      </w:r>
      <w:r w:rsidR="00CB033B">
        <w:t xml:space="preserve">proposed and </w:t>
      </w:r>
      <w:r w:rsidR="00200659">
        <w:t xml:space="preserve">filed in </w:t>
      </w:r>
      <w:r w:rsidR="00CB033B">
        <w:t>Gideon Water’s</w:t>
      </w:r>
      <w:r w:rsidR="00200659">
        <w:t xml:space="preserve"> application</w:t>
      </w:r>
      <w:r w:rsidR="00AC101D">
        <w:t>, with such rates being unambiguous</w:t>
      </w:r>
      <w:r w:rsidR="00200659">
        <w:t xml:space="preserve">. </w:t>
      </w:r>
    </w:p>
    <w:p w14:paraId="2A05DB05" w14:textId="44268FBE" w:rsidR="009129C2" w:rsidRPr="009129C2" w:rsidRDefault="009129C2" w:rsidP="009129C2">
      <w:pPr>
        <w:pStyle w:val="Paragraph"/>
      </w:pPr>
      <w:r>
        <w:t xml:space="preserve"> </w:t>
      </w:r>
    </w:p>
    <w:p w14:paraId="4F80E71C" w14:textId="45B72244" w:rsidR="009129C2" w:rsidRDefault="009129C2" w:rsidP="009129C2">
      <w:pPr>
        <w:pStyle w:val="Heading1"/>
        <w:tabs>
          <w:tab w:val="clear" w:pos="1440"/>
        </w:tabs>
        <w:spacing w:before="0" w:after="0" w:line="360" w:lineRule="auto"/>
        <w:ind w:left="0" w:right="0"/>
      </w:pPr>
      <w:r>
        <w:lastRenderedPageBreak/>
        <w:t>BACKGROUND</w:t>
      </w:r>
    </w:p>
    <w:p w14:paraId="2679A642" w14:textId="7A8EC8B0" w:rsidR="007C1C19" w:rsidRDefault="00902872" w:rsidP="007C1C19">
      <w:pPr>
        <w:pStyle w:val="Paragraph"/>
        <w:tabs>
          <w:tab w:val="left" w:pos="4680"/>
        </w:tabs>
        <w:rPr>
          <w:iCs/>
        </w:rPr>
      </w:pPr>
      <w:r>
        <w:rPr>
          <w:iCs/>
        </w:rPr>
        <w:t xml:space="preserve">On April 12, 2022, Gideon Water filed an application to obtain a water certificate of convenience and necessity </w:t>
      </w:r>
      <w:r w:rsidR="00BF579B">
        <w:rPr>
          <w:iCs/>
        </w:rPr>
        <w:t xml:space="preserve">(CCN) </w:t>
      </w:r>
      <w:r>
        <w:rPr>
          <w:iCs/>
        </w:rPr>
        <w:t xml:space="preserve">in Montgomery County. </w:t>
      </w:r>
    </w:p>
    <w:p w14:paraId="384E5A2D" w14:textId="45898F42" w:rsidR="009129C2" w:rsidRDefault="007C1C19" w:rsidP="007C1C19">
      <w:pPr>
        <w:pStyle w:val="Paragraph"/>
      </w:pPr>
      <w:r>
        <w:rPr>
          <w:iCs/>
        </w:rPr>
        <w:t xml:space="preserve">On </w:t>
      </w:r>
      <w:r w:rsidR="00902872">
        <w:rPr>
          <w:iCs/>
        </w:rPr>
        <w:t>July 31, 2023</w:t>
      </w:r>
      <w:r>
        <w:rPr>
          <w:iCs/>
        </w:rPr>
        <w:t xml:space="preserve">, the </w:t>
      </w:r>
      <w:r w:rsidR="00902872">
        <w:rPr>
          <w:iCs/>
        </w:rPr>
        <w:t xml:space="preserve">ALJ </w:t>
      </w:r>
      <w:r>
        <w:rPr>
          <w:iCs/>
        </w:rPr>
        <w:t xml:space="preserve">filed </w:t>
      </w:r>
      <w:r w:rsidR="00E15ED5">
        <w:rPr>
          <w:iCs/>
        </w:rPr>
        <w:t>a Notice of Approval</w:t>
      </w:r>
      <w:r w:rsidR="00E15ED5">
        <w:t xml:space="preserve">, approving </w:t>
      </w:r>
      <w:r w:rsidR="00BF579B">
        <w:t xml:space="preserve">Gideon Water’s application and issuing Gideon Water CCN No. 13304. The ALJ also approved a tariff </w:t>
      </w:r>
      <w:r w:rsidR="001276F3">
        <w:t xml:space="preserve">that </w:t>
      </w:r>
      <w:r w:rsidR="00BF579B">
        <w:t xml:space="preserve">relevantly </w:t>
      </w:r>
      <w:r w:rsidR="00510796">
        <w:t xml:space="preserve">1) </w:t>
      </w:r>
      <w:r w:rsidR="001276F3">
        <w:t xml:space="preserve">states that 10,000 gallons of water is included for all meter sizes and </w:t>
      </w:r>
      <w:r w:rsidR="00510796">
        <w:t xml:space="preserve">2) </w:t>
      </w:r>
      <w:r w:rsidR="001276F3">
        <w:t xml:space="preserve">does not include </w:t>
      </w:r>
      <w:r w:rsidR="00E560FF">
        <w:t xml:space="preserve">a </w:t>
      </w:r>
      <w:r w:rsidR="001276F3">
        <w:t xml:space="preserve">pass-through </w:t>
      </w:r>
      <w:r w:rsidR="00E560FF">
        <w:t>provision</w:t>
      </w:r>
      <w:r w:rsidR="001276F3">
        <w:t>.</w:t>
      </w:r>
      <w:r w:rsidR="00BF579B">
        <w:t xml:space="preserve"> </w:t>
      </w:r>
      <w:r w:rsidR="00C44E0C">
        <w:t xml:space="preserve">On October 25, 2023, Gideon Water filed a request for reconsideration of the tariff that was </w:t>
      </w:r>
      <w:r w:rsidR="00510796">
        <w:t>approved</w:t>
      </w:r>
      <w:r w:rsidR="00C44E0C">
        <w:t xml:space="preserve"> to </w:t>
      </w:r>
      <w:r w:rsidR="00510796">
        <w:t xml:space="preserve">1) </w:t>
      </w:r>
      <w:r w:rsidR="00C44E0C">
        <w:t xml:space="preserve">remove the language stating that 10,000 gallons of water is included for all meter sizes and </w:t>
      </w:r>
      <w:r w:rsidR="00510796">
        <w:t xml:space="preserve">2) </w:t>
      </w:r>
      <w:r w:rsidR="00C44E0C">
        <w:t xml:space="preserve">include language for </w:t>
      </w:r>
      <w:r w:rsidR="00E560FF">
        <w:t>a</w:t>
      </w:r>
      <w:r w:rsidR="00C44E0C">
        <w:t xml:space="preserve"> pass-through </w:t>
      </w:r>
      <w:r w:rsidR="00E560FF">
        <w:t>provision</w:t>
      </w:r>
      <w:r w:rsidR="00C44E0C">
        <w:t>. On October 30, 2023, the ALJ denied the request for reconsideration</w:t>
      </w:r>
      <w:r w:rsidR="002D4D18">
        <w:t>.</w:t>
      </w:r>
      <w:r w:rsidR="00CD34FC">
        <w:t xml:space="preserve"> On March 6, 2024, </w:t>
      </w:r>
      <w:r w:rsidR="00E44478">
        <w:t xml:space="preserve">the Parties filed a joint motion for Order </w:t>
      </w:r>
      <w:r w:rsidR="00E44478">
        <w:rPr>
          <w:i/>
          <w:iCs/>
        </w:rPr>
        <w:t>Nunc Pro Tunc</w:t>
      </w:r>
      <w:r w:rsidR="00E44478">
        <w:t xml:space="preserve"> or, alternatively, to reopen the record.</w:t>
      </w:r>
    </w:p>
    <w:p w14:paraId="2948082A" w14:textId="0EB37AEF" w:rsidR="00E44478" w:rsidRPr="00E44478" w:rsidRDefault="00E44478" w:rsidP="007C1C19">
      <w:pPr>
        <w:pStyle w:val="Paragraph"/>
      </w:pPr>
      <w:r>
        <w:t xml:space="preserve">On March 26, 2024, the ALJ filed Order No. 20, denying the motion for Order </w:t>
      </w:r>
      <w:r>
        <w:rPr>
          <w:i/>
          <w:iCs/>
        </w:rPr>
        <w:t>Nunc Pro Tunc</w:t>
      </w:r>
      <w:r>
        <w:t xml:space="preserve"> and motion to reopen the record. In response, the Parties file this request for reconsideration of Order No. 20.</w:t>
      </w:r>
    </w:p>
    <w:p w14:paraId="61E054F0" w14:textId="77777777" w:rsidR="00EA36EC" w:rsidRDefault="00EA36EC" w:rsidP="007C1C19">
      <w:pPr>
        <w:pStyle w:val="Paragraph"/>
      </w:pPr>
    </w:p>
    <w:p w14:paraId="14008776" w14:textId="5891B076" w:rsidR="007C1C19" w:rsidRDefault="00D728E4" w:rsidP="007C1C19">
      <w:pPr>
        <w:pStyle w:val="Heading1"/>
        <w:tabs>
          <w:tab w:val="clear" w:pos="1440"/>
        </w:tabs>
        <w:spacing w:before="0" w:after="0" w:line="360" w:lineRule="auto"/>
        <w:ind w:left="0" w:right="0"/>
      </w:pPr>
      <w:r>
        <w:t xml:space="preserve">MOTION FOR </w:t>
      </w:r>
      <w:r w:rsidR="00642894">
        <w:t xml:space="preserve">ORDER </w:t>
      </w:r>
      <w:r w:rsidR="00642894" w:rsidRPr="00D3180F">
        <w:rPr>
          <w:i/>
          <w:iCs/>
        </w:rPr>
        <w:t>NUNC PRO TUNC</w:t>
      </w:r>
    </w:p>
    <w:p w14:paraId="572E0E10" w14:textId="136C610A" w:rsidR="00A06F8B" w:rsidRDefault="00E44478" w:rsidP="006F148A">
      <w:pPr>
        <w:pStyle w:val="Paragraph"/>
      </w:pPr>
      <w:r>
        <w:t>The Parties reurge that t</w:t>
      </w:r>
      <w:r w:rsidR="00642894">
        <w:t xml:space="preserve">he </w:t>
      </w:r>
      <w:r w:rsidR="007D7351">
        <w:t xml:space="preserve">proposed </w:t>
      </w:r>
      <w:r w:rsidR="00642894">
        <w:t xml:space="preserve">correction </w:t>
      </w:r>
      <w:r w:rsidR="007D7351">
        <w:t>to the</w:t>
      </w:r>
      <w:r w:rsidR="00642894">
        <w:t xml:space="preserve"> tariff </w:t>
      </w:r>
      <w:r w:rsidR="007D7351">
        <w:t>to remove the</w:t>
      </w:r>
      <w:r w:rsidR="00642894">
        <w:t xml:space="preserve"> </w:t>
      </w:r>
      <w:r w:rsidR="007D7351">
        <w:t>erroneous language</w:t>
      </w:r>
      <w:r w:rsidR="00642894">
        <w:t xml:space="preserve"> stating that 10,000 gallons of water is included for all meter sizes</w:t>
      </w:r>
      <w:r w:rsidR="007D7351">
        <w:t xml:space="preserve"> </w:t>
      </w:r>
      <w:r w:rsidR="006667CC">
        <w:t xml:space="preserve">1) </w:t>
      </w:r>
      <w:r w:rsidR="007D7351">
        <w:t xml:space="preserve">accurately reflects the true decision reached by the ALJ and </w:t>
      </w:r>
      <w:r w:rsidR="006667CC">
        <w:t xml:space="preserve">2) </w:t>
      </w:r>
      <w:r w:rsidR="007D7351">
        <w:t xml:space="preserve">does not </w:t>
      </w:r>
      <w:r w:rsidR="006667CC">
        <w:t>involve additional judicial reasoning.</w:t>
      </w:r>
      <w:r w:rsidR="005E60E3">
        <w:rPr>
          <w:rStyle w:val="FootnoteReference"/>
        </w:rPr>
        <w:footnoteReference w:id="3"/>
      </w:r>
      <w:r w:rsidR="006667CC">
        <w:t xml:space="preserve"> </w:t>
      </w:r>
      <w:r w:rsidR="006F148A">
        <w:t>In response to the Parties’ motion, the ALJ indicated that “[t]he rates requested by Gideon Water reflect that some unknown gallonage was contemplated for inclusion as part of the monthly minimum charge for 5/8” and</w:t>
      </w:r>
      <w:r w:rsidR="00384B00">
        <w:t xml:space="preserve"> </w:t>
      </w:r>
      <w:r w:rsidR="006F148A">
        <w:t>3/4” meters.”</w:t>
      </w:r>
      <w:r w:rsidR="00033EBF">
        <w:rPr>
          <w:rStyle w:val="FootnoteReference"/>
        </w:rPr>
        <w:footnoteReference w:id="4"/>
      </w:r>
      <w:r w:rsidR="00033EBF">
        <w:t xml:space="preserve"> However, as seen by reference to the full record, </w:t>
      </w:r>
      <w:r w:rsidR="00A55E3F">
        <w:t xml:space="preserve">the unambiguous interpretation is </w:t>
      </w:r>
      <w:r w:rsidR="00033EBF">
        <w:t xml:space="preserve">that Gideon Water </w:t>
      </w:r>
      <w:r w:rsidR="00A55E3F">
        <w:t xml:space="preserve">did not propose </w:t>
      </w:r>
      <w:r w:rsidR="00381DF6">
        <w:t xml:space="preserve">to include </w:t>
      </w:r>
      <w:r w:rsidR="00A55E3F">
        <w:t xml:space="preserve">or contemplate the inclusion of any nonzero gallonage amount for the monthly minimum charge. Specifically, it is evident that Gideon Water used the Commission’s template to propose its rates. </w:t>
      </w:r>
      <w:r w:rsidR="00E52E23">
        <w:t>The first page of the tariff includes an empty underline for the docket number and language indicating “[the] number will be assigned by the Public Utility Commission after your tariff is filed.”</w:t>
      </w:r>
      <w:r w:rsidR="00E52E23">
        <w:rPr>
          <w:rStyle w:val="FootnoteReference"/>
        </w:rPr>
        <w:footnoteReference w:id="5"/>
      </w:r>
      <w:r w:rsidR="00E52E23">
        <w:t xml:space="preserve"> Further, each page </w:t>
      </w:r>
      <w:r w:rsidR="00E52E23">
        <w:lastRenderedPageBreak/>
        <w:t>on the tariff has a footer with language for the form type and last revision date.</w:t>
      </w:r>
      <w:r w:rsidR="00E52E23">
        <w:rPr>
          <w:rStyle w:val="FootnoteReference"/>
        </w:rPr>
        <w:footnoteReference w:id="6"/>
      </w:r>
      <w:r w:rsidR="00E52E23">
        <w:t xml:space="preserve"> Lastly, the tariff includes both underlined</w:t>
      </w:r>
      <w:r w:rsidR="00D2252F">
        <w:t xml:space="preserve"> (e.g. utility name, page numbers, miscellaneous fees, etc.)</w:t>
      </w:r>
      <w:r w:rsidR="00E52E23">
        <w:t xml:space="preserve"> and shaded parts </w:t>
      </w:r>
      <w:r w:rsidR="00D2252F">
        <w:t xml:space="preserve">(e.g. monthly minimum charges for each meter size and the gallonage charges per 1000 gallons for unspecified amounts or gallons) </w:t>
      </w:r>
      <w:r w:rsidR="00E52E23">
        <w:t xml:space="preserve">that signify information that will be entered by an applicant in a given application. </w:t>
      </w:r>
    </w:p>
    <w:p w14:paraId="2C190235" w14:textId="6E43A786" w:rsidR="00FE336F" w:rsidRDefault="00E6661C" w:rsidP="006F148A">
      <w:pPr>
        <w:pStyle w:val="Paragraph"/>
      </w:pPr>
      <w:r>
        <w:t>In contrast, the erroneous tariff prepared by Staff and approved by the ALJ includes the docket number on the first page and on the footer</w:t>
      </w:r>
      <w:r w:rsidR="00381DF6">
        <w:t xml:space="preserve"> and also no longer has </w:t>
      </w:r>
      <w:r w:rsidR="00D2252F">
        <w:t>shading over the rates</w:t>
      </w:r>
      <w:r w:rsidR="00381DF6">
        <w:t xml:space="preserve">. Altogether, these differences highlight that Gideon Water only entered information to complete the </w:t>
      </w:r>
      <w:r w:rsidR="00A06F8B">
        <w:t xml:space="preserve">template </w:t>
      </w:r>
      <w:r w:rsidR="00381DF6">
        <w:t>for its application. And as far as the template,</w:t>
      </w:r>
      <w:r w:rsidR="00E52E23">
        <w:t xml:space="preserve"> t</w:t>
      </w:r>
      <w:r w:rsidR="00A55E3F">
        <w:t>he term “(Includes gallons)” is n</w:t>
      </w:r>
      <w:r w:rsidR="00E52E23">
        <w:t>either</w:t>
      </w:r>
      <w:r w:rsidR="00A55E3F">
        <w:t xml:space="preserve"> underlined </w:t>
      </w:r>
      <w:r w:rsidR="00E52E23">
        <w:t>n</w:t>
      </w:r>
      <w:r w:rsidR="00A55E3F">
        <w:t xml:space="preserve">or shaded. While that would not </w:t>
      </w:r>
      <w:r w:rsidR="00E52E23">
        <w:t xml:space="preserve">necessarily </w:t>
      </w:r>
      <w:r w:rsidR="00A55E3F">
        <w:t>prevent an applicant from proposing a nonzero gallonage to be applied to the monthly minimum charge</w:t>
      </w:r>
      <w:r w:rsidR="00E241C9">
        <w:t>s</w:t>
      </w:r>
      <w:r w:rsidR="00A55E3F">
        <w:t xml:space="preserve">, the fact that Gideon Water did not </w:t>
      </w:r>
      <w:r w:rsidR="00E52E23">
        <w:t xml:space="preserve">explicitly </w:t>
      </w:r>
      <w:r w:rsidR="00A55E3F">
        <w:t xml:space="preserve">propose any such number can only suggest that Gideon Water </w:t>
      </w:r>
      <w:r w:rsidR="00E52E23">
        <w:t xml:space="preserve">instead </w:t>
      </w:r>
      <w:r w:rsidR="00A55E3F">
        <w:t xml:space="preserve">proposed </w:t>
      </w:r>
      <w:r w:rsidR="00E52E23">
        <w:t xml:space="preserve">that </w:t>
      </w:r>
      <w:r w:rsidR="00A55E3F">
        <w:t xml:space="preserve">the language should be </w:t>
      </w:r>
      <w:r w:rsidR="00E52E23">
        <w:t xml:space="preserve">interpreted as </w:t>
      </w:r>
      <w:r w:rsidR="00A55E3F">
        <w:t xml:space="preserve">“(Includes </w:t>
      </w:r>
      <w:r w:rsidR="00A55E3F" w:rsidRPr="00A55E3F">
        <w:rPr>
          <w:u w:val="single"/>
        </w:rPr>
        <w:t>0</w:t>
      </w:r>
      <w:r w:rsidR="00A55E3F">
        <w:t xml:space="preserve"> gallons)</w:t>
      </w:r>
      <w:r w:rsidR="00E52E23">
        <w:t>”</w:t>
      </w:r>
      <w:r w:rsidR="00A55E3F">
        <w:t xml:space="preserve"> or that the language “(Includes gallons)” should not be included on the tariff at all. </w:t>
      </w:r>
      <w:r w:rsidR="00FF246A">
        <w:t>Accordingly, Gideon Water’s propos</w:t>
      </w:r>
      <w:r>
        <w:t xml:space="preserve">ed rates do not reflect that some unknown gallonage was contemplated for inclusion as part of the monthly minimum charge. </w:t>
      </w:r>
    </w:p>
    <w:p w14:paraId="08B38FB8" w14:textId="4BACDDA2" w:rsidR="00163EA2" w:rsidRDefault="00E6661C" w:rsidP="00A22F2C">
      <w:pPr>
        <w:pStyle w:val="Paragraph"/>
      </w:pPr>
      <w:r>
        <w:t xml:space="preserve">To suggest otherwise would </w:t>
      </w:r>
      <w:r w:rsidR="00381DF6">
        <w:t xml:space="preserve">also </w:t>
      </w:r>
      <w:r>
        <w:t xml:space="preserve">render Findings of Fact </w:t>
      </w:r>
      <w:r w:rsidR="00A06F8B">
        <w:t xml:space="preserve">Nos. </w:t>
      </w:r>
      <w:r>
        <w:t xml:space="preserve">47-49 </w:t>
      </w:r>
      <w:r w:rsidR="00A06F8B">
        <w:t xml:space="preserve">in the Notice of Approval </w:t>
      </w:r>
      <w:r>
        <w:t>meaningle</w:t>
      </w:r>
      <w:r w:rsidR="00381DF6">
        <w:t xml:space="preserve">ss insofar as the information included with </w:t>
      </w:r>
      <w:r w:rsidR="00A22F2C">
        <w:t xml:space="preserve">the </w:t>
      </w:r>
      <w:r w:rsidR="00381DF6">
        <w:t>rate study</w:t>
      </w:r>
      <w:r w:rsidR="00A22F2C">
        <w:t xml:space="preserve"> in Gideon Water’s application</w:t>
      </w:r>
      <w:r w:rsidR="00381DF6">
        <w:t>.</w:t>
      </w:r>
      <w:r w:rsidR="006365E3">
        <w:rPr>
          <w:rStyle w:val="FootnoteReference"/>
        </w:rPr>
        <w:footnoteReference w:id="7"/>
      </w:r>
      <w:r w:rsidR="00381DF6">
        <w:t xml:space="preserve"> To have left the gallonage amount to be unspecified, Gideon Water could not have provided a sufficient and meaningful rate study, including the necessary pro forma financial statements, calculations, and assumptions for projections in support of its proposed rates.</w:t>
      </w:r>
      <w:r w:rsidR="00FE336F">
        <w:t xml:space="preserve"> Instead, as shown by the projected income and expense statements for fiscal years 1-5, </w:t>
      </w:r>
      <w:r w:rsidR="00283B40">
        <w:t xml:space="preserve">the inclusion of the </w:t>
      </w:r>
      <w:r w:rsidR="00FE336F">
        <w:t xml:space="preserve">monthly </w:t>
      </w:r>
      <w:r w:rsidR="00283B40">
        <w:t xml:space="preserve">water use charged at the </w:t>
      </w:r>
      <w:r w:rsidR="00FE336F">
        <w:t xml:space="preserve">base rate </w:t>
      </w:r>
      <w:r w:rsidR="00283B40">
        <w:t>in the calculations for usage amounts up to 10,000 gallons</w:t>
      </w:r>
      <w:r w:rsidR="00FE336F">
        <w:t xml:space="preserve"> prove</w:t>
      </w:r>
      <w:r w:rsidR="00283B40">
        <w:t>s</w:t>
      </w:r>
      <w:r w:rsidR="00FE336F">
        <w:t xml:space="preserve"> that the monthly minimum charges includes </w:t>
      </w:r>
      <w:r w:rsidR="00283B40">
        <w:rPr>
          <w:u w:val="single"/>
        </w:rPr>
        <w:t>0</w:t>
      </w:r>
      <w:r w:rsidR="00FE336F">
        <w:t xml:space="preserve"> gallons</w:t>
      </w:r>
      <w:r w:rsidR="00283B40">
        <w:t xml:space="preserve"> and not some unspecified nonzero gallonage amount, let alone 10,000 gallons.</w:t>
      </w:r>
      <w:r w:rsidR="00796DE6">
        <w:rPr>
          <w:rStyle w:val="FootnoteReference"/>
        </w:rPr>
        <w:footnoteReference w:id="8"/>
      </w:r>
      <w:r w:rsidR="00796DE6">
        <w:t xml:space="preserve"> </w:t>
      </w:r>
      <w:r w:rsidR="00A22F2C">
        <w:t xml:space="preserve">Therefore, </w:t>
      </w:r>
      <w:r w:rsidR="006365E3" w:rsidRPr="006365E3">
        <w:rPr>
          <w:b/>
          <w:bCs/>
          <w:i/>
          <w:iCs/>
        </w:rPr>
        <w:t>because no such ambiguity existed</w:t>
      </w:r>
      <w:r w:rsidR="006365E3">
        <w:t xml:space="preserve"> in Gideon Water’s proposed rates, </w:t>
      </w:r>
      <w:r w:rsidR="00A22F2C">
        <w:t xml:space="preserve">Staff’s tariff, filed on March 31, 2023, did not </w:t>
      </w:r>
      <w:r w:rsidR="006365E3">
        <w:t xml:space="preserve">have any </w:t>
      </w:r>
      <w:r w:rsidR="006365E3">
        <w:lastRenderedPageBreak/>
        <w:t xml:space="preserve">ambiguities to resolve, which clearly indicates that the nature of this error is clerical and not judicial. </w:t>
      </w:r>
    </w:p>
    <w:p w14:paraId="16231E35" w14:textId="78A06BF4" w:rsidR="00A276E7" w:rsidRPr="00AA09BD" w:rsidRDefault="00A276E7" w:rsidP="00A22F2C">
      <w:pPr>
        <w:pStyle w:val="Paragraph"/>
      </w:pPr>
      <w:r>
        <w:t xml:space="preserve">Further, </w:t>
      </w:r>
      <w:r w:rsidR="007D326F">
        <w:t>in response to the ALJ’s indication that additional judicial reasoning or determination must be applied for the ALJ to correct the tariff that was attached to the Notice of Approval,</w:t>
      </w:r>
      <w:r w:rsidR="006365E3">
        <w:rPr>
          <w:rStyle w:val="FootnoteReference"/>
        </w:rPr>
        <w:footnoteReference w:id="9"/>
      </w:r>
      <w:r w:rsidR="007D326F">
        <w:t xml:space="preserve"> there is </w:t>
      </w:r>
      <w:r w:rsidR="00701675">
        <w:t xml:space="preserve">actually </w:t>
      </w:r>
      <w:r w:rsidR="007D326F">
        <w:t>nothing for the ALJ to consider that was filed after the date of the Notice of Approval. Instead, the Parties argue that the entirety of the record</w:t>
      </w:r>
      <w:r w:rsidR="00B5725E">
        <w:t xml:space="preserve"> admitted as evidence prior to the Notice of Approval</w:t>
      </w:r>
      <w:r w:rsidR="007D326F">
        <w:t xml:space="preserve">, </w:t>
      </w:r>
      <w:r w:rsidR="00B5725E">
        <w:t>namely the record</w:t>
      </w:r>
      <w:r w:rsidR="007D326F">
        <w:t xml:space="preserve"> detailed in the Parties’ motion for Order </w:t>
      </w:r>
      <w:r w:rsidR="007D326F">
        <w:rPr>
          <w:i/>
          <w:iCs/>
        </w:rPr>
        <w:t>Nunc Pro Tunc</w:t>
      </w:r>
      <w:r w:rsidR="007D326F">
        <w:t xml:space="preserve"> and detailed further in this motion,</w:t>
      </w:r>
      <w:r w:rsidR="000804B7">
        <w:rPr>
          <w:rStyle w:val="FootnoteReference"/>
        </w:rPr>
        <w:footnoteReference w:id="10"/>
      </w:r>
      <w:r w:rsidR="007D326F">
        <w:t xml:space="preserve"> indicate</w:t>
      </w:r>
      <w:r w:rsidR="00C24231">
        <w:t>s</w:t>
      </w:r>
      <w:r w:rsidR="007D326F">
        <w:t xml:space="preserve"> that </w:t>
      </w:r>
      <w:r w:rsidR="00C24231">
        <w:t xml:space="preserve">the </w:t>
      </w:r>
      <w:r w:rsidR="007D326F">
        <w:t xml:space="preserve">Notice of Approval </w:t>
      </w:r>
      <w:r w:rsidR="00B5725E">
        <w:t>rendered a judgment to approve</w:t>
      </w:r>
      <w:r w:rsidR="007D326F">
        <w:t xml:space="preserve"> Gideon</w:t>
      </w:r>
      <w:r w:rsidR="00C24231">
        <w:t xml:space="preserve"> </w:t>
      </w:r>
      <w:r w:rsidR="007D326F">
        <w:t>Water’s proposed rates</w:t>
      </w:r>
      <w:r w:rsidR="00C24231">
        <w:t>, unrestricted by</w:t>
      </w:r>
      <w:r w:rsidR="007D326F">
        <w:t xml:space="preserve"> the language erroneously included by Staff.</w:t>
      </w:r>
      <w:r w:rsidR="00B5725E">
        <w:t xml:space="preserve"> Specifically,</w:t>
      </w:r>
      <w:r w:rsidR="00844CCC">
        <w:t xml:space="preserve"> </w:t>
      </w:r>
      <w:r w:rsidR="000804B7">
        <w:t>the Parties’ argument</w:t>
      </w:r>
      <w:r w:rsidR="00C24231">
        <w:t xml:space="preserve"> </w:t>
      </w:r>
      <w:r w:rsidR="000804B7">
        <w:t xml:space="preserve">about </w:t>
      </w:r>
      <w:r w:rsidR="00844CCC">
        <w:t xml:space="preserve">the lack </w:t>
      </w:r>
      <w:r w:rsidR="006365E3">
        <w:t>of judicial reasoning or determination</w:t>
      </w:r>
      <w:r w:rsidR="00B5725E">
        <w:rPr>
          <w:rStyle w:val="FootnoteReference"/>
        </w:rPr>
        <w:footnoteReference w:id="11"/>
      </w:r>
      <w:r w:rsidR="00844CCC">
        <w:t xml:space="preserve"> </w:t>
      </w:r>
      <w:r w:rsidR="006365E3">
        <w:t>was applicable</w:t>
      </w:r>
      <w:r w:rsidR="00844CCC">
        <w:t xml:space="preserve"> </w:t>
      </w:r>
      <w:r w:rsidR="006365E3">
        <w:t xml:space="preserve">not just to the </w:t>
      </w:r>
      <w:r w:rsidR="00B5725E">
        <w:t xml:space="preserve">ALJ’s </w:t>
      </w:r>
      <w:r w:rsidR="006365E3">
        <w:t xml:space="preserve">consideration of whether to make </w:t>
      </w:r>
      <w:r w:rsidR="000804B7">
        <w:t>the requested</w:t>
      </w:r>
      <w:r w:rsidR="006365E3">
        <w:t xml:space="preserve"> correction to the tariff attached to the Notice of Approval</w:t>
      </w:r>
      <w:r w:rsidR="00FC3A91">
        <w:t>,</w:t>
      </w:r>
      <w:r w:rsidR="006365E3">
        <w:t xml:space="preserve"> but also </w:t>
      </w:r>
      <w:r w:rsidR="00844CCC">
        <w:t xml:space="preserve">to the ALJ’s </w:t>
      </w:r>
      <w:r w:rsidR="006365E3">
        <w:t xml:space="preserve">initial </w:t>
      </w:r>
      <w:r w:rsidR="00844CCC">
        <w:t xml:space="preserve">consideration to approve a tariff </w:t>
      </w:r>
      <w:r w:rsidR="000804B7">
        <w:t xml:space="preserve">generally </w:t>
      </w:r>
      <w:r w:rsidR="00844CCC">
        <w:t>for the Notice of Approval</w:t>
      </w:r>
      <w:r w:rsidR="006365E3">
        <w:t xml:space="preserve">. </w:t>
      </w:r>
      <w:r w:rsidR="00051630">
        <w:t xml:space="preserve">If the entire record is considered and reconsidered in light of the details provided in this motion, namely the details regarding Gideon Water’s use of the Commission’s </w:t>
      </w:r>
      <w:r w:rsidR="00F565FA">
        <w:t xml:space="preserve">template </w:t>
      </w:r>
      <w:r w:rsidR="00051630">
        <w:t xml:space="preserve">to propose its tariff and the rate study and </w:t>
      </w:r>
      <w:r w:rsidR="00516C4B">
        <w:t xml:space="preserve">accompanying </w:t>
      </w:r>
      <w:r w:rsidR="00051630">
        <w:t>calculations provided to support Gideon Water’s proposed rates</w:t>
      </w:r>
      <w:r w:rsidR="00F565FA">
        <w:t xml:space="preserve">, then the Notice of Approval </w:t>
      </w:r>
      <w:r w:rsidR="000D4AA2">
        <w:t xml:space="preserve">and the relevant findings of fact therein </w:t>
      </w:r>
      <w:r w:rsidR="00F565FA">
        <w:t xml:space="preserve">can only be interpreted as the ALJ’s approval of Gideon Water’s proposed rates that do not include </w:t>
      </w:r>
      <w:r w:rsidR="00516C4B">
        <w:t>or contemplate the inclusion of 10,000 gallons for all meter sizes</w:t>
      </w:r>
      <w:r w:rsidR="001F3EDB">
        <w:t>.</w:t>
      </w:r>
      <w:r w:rsidR="006365E3">
        <w:t xml:space="preserve"> </w:t>
      </w:r>
      <w:r w:rsidR="00AA09BD">
        <w:t xml:space="preserve">Therefore, the inclusion of the erroneous language in the tariff attached to the signed </w:t>
      </w:r>
      <w:r w:rsidR="001B58ED">
        <w:t>Notice of Approval</w:t>
      </w:r>
      <w:r w:rsidR="00AA09BD">
        <w:t xml:space="preserve"> inaccurately reflect</w:t>
      </w:r>
      <w:r w:rsidR="001B58ED">
        <w:t>s</w:t>
      </w:r>
      <w:r w:rsidR="00AA09BD">
        <w:t xml:space="preserve"> the true decision of the </w:t>
      </w:r>
      <w:r w:rsidR="001B58ED">
        <w:t>ALJ</w:t>
      </w:r>
      <w:r w:rsidR="00AA09BD">
        <w:t xml:space="preserve">, such that the clerical error can properly be corrected by an Order </w:t>
      </w:r>
      <w:r w:rsidR="00AA09BD">
        <w:rPr>
          <w:i/>
          <w:iCs/>
        </w:rPr>
        <w:t>Nunc Pro Tunc</w:t>
      </w:r>
      <w:r w:rsidR="00AA09BD">
        <w:t>.</w:t>
      </w:r>
      <w:r w:rsidR="00AA09BD">
        <w:rPr>
          <w:rStyle w:val="FootnoteReference"/>
        </w:rPr>
        <w:footnoteReference w:id="12"/>
      </w:r>
    </w:p>
    <w:p w14:paraId="6BE74DA4" w14:textId="77777777" w:rsidR="007C1C19" w:rsidRPr="00FE5A24" w:rsidRDefault="007C1C19" w:rsidP="007C1C19">
      <w:pPr>
        <w:pStyle w:val="Paragraph"/>
      </w:pPr>
    </w:p>
    <w:p w14:paraId="481C14D2" w14:textId="28019801" w:rsidR="003B70A7" w:rsidRDefault="003B70A7" w:rsidP="007C1C19">
      <w:pPr>
        <w:pStyle w:val="Heading1"/>
        <w:tabs>
          <w:tab w:val="clear" w:pos="1440"/>
        </w:tabs>
        <w:spacing w:before="0" w:after="0" w:line="360" w:lineRule="auto"/>
        <w:ind w:left="0" w:right="0"/>
      </w:pPr>
      <w:r>
        <w:lastRenderedPageBreak/>
        <w:t xml:space="preserve">MOTION </w:t>
      </w:r>
      <w:r w:rsidR="007872F6">
        <w:t>TO REOPEN THE RECORD</w:t>
      </w:r>
    </w:p>
    <w:p w14:paraId="166882A1" w14:textId="4DA39D6D" w:rsidR="00145A50" w:rsidRDefault="005239EF" w:rsidP="00522299">
      <w:pPr>
        <w:pStyle w:val="Paragraph"/>
      </w:pPr>
      <w:r>
        <w:t>To</w:t>
      </w:r>
      <w:r w:rsidR="003B70A7">
        <w:t xml:space="preserve"> the extent the </w:t>
      </w:r>
      <w:r w:rsidR="003A08D2">
        <w:t xml:space="preserve">ALJ continues to deny the joint motion for an </w:t>
      </w:r>
      <w:r w:rsidR="003B70A7">
        <w:t xml:space="preserve">Order </w:t>
      </w:r>
      <w:r w:rsidR="003B70A7">
        <w:rPr>
          <w:i/>
          <w:iCs/>
        </w:rPr>
        <w:t>Nunc Pro Tunc</w:t>
      </w:r>
      <w:r w:rsidR="003B70A7">
        <w:t xml:space="preserve">, the Parties </w:t>
      </w:r>
      <w:r w:rsidR="008453D3">
        <w:t xml:space="preserve">alternatively </w:t>
      </w:r>
      <w:r w:rsidR="003A08D2">
        <w:t xml:space="preserve">reurge the motion </w:t>
      </w:r>
      <w:r w:rsidR="00522299">
        <w:t xml:space="preserve">to reopen the record </w:t>
      </w:r>
      <w:r w:rsidR="00B66B8D">
        <w:t xml:space="preserve">for the Commission </w:t>
      </w:r>
      <w:r w:rsidR="00522299">
        <w:t>to admit and approve the correct</w:t>
      </w:r>
      <w:r w:rsidR="00A12B9D">
        <w:t>ed</w:t>
      </w:r>
      <w:r w:rsidR="00522299">
        <w:t xml:space="preserve"> tariff</w:t>
      </w:r>
      <w:r w:rsidR="003A08D2">
        <w:t xml:space="preserve"> </w:t>
      </w:r>
      <w:r w:rsidR="000743B8">
        <w:t xml:space="preserve">previously </w:t>
      </w:r>
      <w:r w:rsidR="0023455C">
        <w:t>filed on March 6, 2024</w:t>
      </w:r>
      <w:r w:rsidR="000743B8">
        <w:t xml:space="preserve"> and attached to this motion</w:t>
      </w:r>
      <w:r w:rsidR="00522299">
        <w:t xml:space="preserve">. </w:t>
      </w:r>
      <w:r w:rsidR="00B66B8D">
        <w:t>Relevantly</w:t>
      </w:r>
      <w:r w:rsidR="005530C0">
        <w:t xml:space="preserve">, the Commission has </w:t>
      </w:r>
      <w:r w:rsidR="008453D3">
        <w:t xml:space="preserve">previously </w:t>
      </w:r>
      <w:r w:rsidR="005530C0">
        <w:t>granted</w:t>
      </w:r>
      <w:r w:rsidR="005D6081">
        <w:t xml:space="preserve"> motions to reopen the record to correct errors</w:t>
      </w:r>
      <w:r w:rsidR="00B66B8D">
        <w:t>, where</w:t>
      </w:r>
      <w:r w:rsidR="005D6081">
        <w:t xml:space="preserve"> </w:t>
      </w:r>
      <w:r w:rsidR="00B66B8D">
        <w:t>the</w:t>
      </w:r>
      <w:r w:rsidR="005D6081">
        <w:t xml:space="preserve"> motions </w:t>
      </w:r>
      <w:r w:rsidR="00B66B8D">
        <w:t>would</w:t>
      </w:r>
      <w:r w:rsidR="005D6081">
        <w:t xml:space="preserve"> </w:t>
      </w:r>
      <w:r w:rsidR="005530C0">
        <w:t>otherwise be considered untimely</w:t>
      </w:r>
      <w:r w:rsidR="003A08D2">
        <w:t>.</w:t>
      </w:r>
      <w:r w:rsidR="003A08D2">
        <w:rPr>
          <w:rStyle w:val="FootnoteReference"/>
          <w:bCs/>
        </w:rPr>
        <w:footnoteReference w:id="13"/>
      </w:r>
      <w:r w:rsidR="003A08D2">
        <w:t xml:space="preserve"> Based on Commission precedent, the Parties see no reason why this proceeding should be treated any differently in the spirit of judicial economy and administrative efficiency</w:t>
      </w:r>
      <w:r w:rsidR="005512BC">
        <w:t xml:space="preserve">, </w:t>
      </w:r>
      <w:r w:rsidR="003A08D2">
        <w:t>practicality</w:t>
      </w:r>
      <w:r w:rsidR="005512BC">
        <w:t>, and certainty</w:t>
      </w:r>
      <w:r w:rsidR="003A08D2">
        <w:t>.</w:t>
      </w:r>
      <w:r w:rsidR="00363EBD">
        <w:t xml:space="preserve"> </w:t>
      </w:r>
    </w:p>
    <w:p w14:paraId="3073AB92" w14:textId="036A3B7D" w:rsidR="00431DE8" w:rsidRDefault="00363EBD" w:rsidP="00522299">
      <w:pPr>
        <w:pStyle w:val="Paragraph"/>
        <w:rPr>
          <w:bCs/>
        </w:rPr>
      </w:pPr>
      <w:r>
        <w:t>Notably, a simple clerical error like this should not require Gideon Water to file a rate application to make such a revision</w:t>
      </w:r>
      <w:r w:rsidR="00A363CD">
        <w:t>, especially when</w:t>
      </w:r>
      <w:r w:rsidR="005512BC">
        <w:t xml:space="preserve"> </w:t>
      </w:r>
      <w:r>
        <w:t>the</w:t>
      </w:r>
      <w:r w:rsidR="00B44DC8">
        <w:t xml:space="preserve">re is </w:t>
      </w:r>
      <w:r w:rsidR="00A363CD">
        <w:t>no</w:t>
      </w:r>
      <w:r w:rsidR="00B44DC8">
        <w:t xml:space="preserve"> regulatory certainty </w:t>
      </w:r>
      <w:r>
        <w:t xml:space="preserve">whether </w:t>
      </w:r>
      <w:r w:rsidR="00B44DC8">
        <w:t>the Commission would allow Gideon Water to make the revision in an expedited manner</w:t>
      </w:r>
      <w:r w:rsidR="005512BC">
        <w:t xml:space="preserve"> as requested by Gideon Water in Tariff Control No. 55819</w:t>
      </w:r>
      <w:r w:rsidR="00B44DC8">
        <w:t>.</w:t>
      </w:r>
      <w:r w:rsidR="002333FD">
        <w:rPr>
          <w:rStyle w:val="FootnoteReference"/>
        </w:rPr>
        <w:footnoteReference w:id="14"/>
      </w:r>
      <w:r w:rsidR="00B44DC8">
        <w:t xml:space="preserve"> Specifically, Gideon Water</w:t>
      </w:r>
      <w:r w:rsidR="002333FD">
        <w:t xml:space="preserve"> sought</w:t>
      </w:r>
      <w:r w:rsidR="00B44DC8">
        <w:t xml:space="preserve"> to make corrections to its tariff in Tariff Control No. 55819 pursuant to Texas Water Code (TWC) §</w:t>
      </w:r>
      <w:r w:rsidR="0023455C">
        <w:t> </w:t>
      </w:r>
      <w:r w:rsidR="00B44DC8">
        <w:t>13.244(e)</w:t>
      </w:r>
      <w:r w:rsidR="002333FD">
        <w:t xml:space="preserve">, while </w:t>
      </w:r>
      <w:r w:rsidR="00B44DC8">
        <w:t>the ALJ</w:t>
      </w:r>
      <w:r w:rsidR="002333FD">
        <w:t xml:space="preserve"> has already filed a</w:t>
      </w:r>
      <w:r w:rsidR="00B44DC8">
        <w:t xml:space="preserve"> motion to dismiss</w:t>
      </w:r>
      <w:r w:rsidR="00B44DC8">
        <w:rPr>
          <w:rStyle w:val="FootnoteReference"/>
        </w:rPr>
        <w:footnoteReference w:id="15"/>
      </w:r>
      <w:r w:rsidR="00B44DC8">
        <w:t xml:space="preserve"> </w:t>
      </w:r>
      <w:r w:rsidR="002333FD">
        <w:t>and inquired</w:t>
      </w:r>
      <w:r w:rsidR="00B44DC8">
        <w:t xml:space="preserve"> into the potential for Gideon Water to proceed on its application under 16 Texas Administrative Code (TAC) §</w:t>
      </w:r>
      <w:r w:rsidR="0023455C">
        <w:t> </w:t>
      </w:r>
      <w:r w:rsidR="00B44DC8">
        <w:t>24.25(b)(3)</w:t>
      </w:r>
      <w:r w:rsidR="002333FD">
        <w:t>.</w:t>
      </w:r>
      <w:r w:rsidR="00B44DC8">
        <w:rPr>
          <w:rStyle w:val="FootnoteReference"/>
        </w:rPr>
        <w:footnoteReference w:id="16"/>
      </w:r>
      <w:r w:rsidR="00B44DC8">
        <w:t xml:space="preserve"> </w:t>
      </w:r>
      <w:r w:rsidR="002333FD">
        <w:t>T</w:t>
      </w:r>
      <w:r w:rsidR="007951CF">
        <w:t>he Parties</w:t>
      </w:r>
      <w:r w:rsidR="002333FD">
        <w:t>, however,</w:t>
      </w:r>
      <w:r w:rsidR="007951CF">
        <w:t xml:space="preserve"> believe resolution of this issue in this docket </w:t>
      </w:r>
      <w:r w:rsidR="00BB19A9">
        <w:t>comes with more</w:t>
      </w:r>
      <w:r w:rsidR="007951CF">
        <w:t xml:space="preserve"> administrative</w:t>
      </w:r>
      <w:r w:rsidR="00BB19A9">
        <w:t xml:space="preserve"> </w:t>
      </w:r>
      <w:r w:rsidR="007951CF">
        <w:t>efficie</w:t>
      </w:r>
      <w:r w:rsidR="00BB19A9">
        <w:t>ncy, practicality,</w:t>
      </w:r>
      <w:r w:rsidR="007951CF">
        <w:t xml:space="preserve"> and certain</w:t>
      </w:r>
      <w:r w:rsidR="00BB19A9">
        <w:t xml:space="preserve">ty. Notably, </w:t>
      </w:r>
      <w:r w:rsidR="0023455C">
        <w:t xml:space="preserve">while Staff does not take a position </w:t>
      </w:r>
      <w:r w:rsidR="000743B8">
        <w:t xml:space="preserve">in this motion </w:t>
      </w:r>
      <w:r w:rsidR="0023455C">
        <w:t>on the applicability of TWC</w:t>
      </w:r>
      <w:r w:rsidR="000743B8">
        <w:t xml:space="preserve"> § 13.244(e) or 16 TAC § 24.25(b)(3) to make </w:t>
      </w:r>
      <w:r w:rsidR="002E3ABE">
        <w:t>the</w:t>
      </w:r>
      <w:r w:rsidR="000743B8">
        <w:t xml:space="preserve"> correction or revision to Gideon Water’s tariff, </w:t>
      </w:r>
      <w:r w:rsidR="00BB19A9">
        <w:t>the Parties are not aware of any proceeding in which the Commission has processed a correction to a tariff pursuant to TWC § 13.244(e) or a revision pursuant to 16 TAC §</w:t>
      </w:r>
      <w:r w:rsidR="005512BC">
        <w:t> </w:t>
      </w:r>
      <w:r w:rsidR="00BB19A9">
        <w:t>24.25(b)(3).</w:t>
      </w:r>
      <w:r w:rsidR="005512BC">
        <w:t xml:space="preserve"> Based on this fact</w:t>
      </w:r>
      <w:r w:rsidR="00A363CD">
        <w:t>,</w:t>
      </w:r>
      <w:r w:rsidR="005512BC">
        <w:t xml:space="preserve"> and </w:t>
      </w:r>
      <w:r w:rsidR="00254482">
        <w:t xml:space="preserve">the fact that the </w:t>
      </w:r>
      <w:r w:rsidR="005512BC">
        <w:t xml:space="preserve">Commission </w:t>
      </w:r>
      <w:r w:rsidR="00254482">
        <w:t xml:space="preserve">found </w:t>
      </w:r>
      <w:r w:rsidR="005512BC">
        <w:t>it administratively more efficient</w:t>
      </w:r>
      <w:r w:rsidR="00254482">
        <w:t>, practical, and certain</w:t>
      </w:r>
      <w:r w:rsidR="005512BC">
        <w:t xml:space="preserve"> to grant untimely motions to correct </w:t>
      </w:r>
      <w:r w:rsidR="005512BC">
        <w:lastRenderedPageBreak/>
        <w:t xml:space="preserve">simple </w:t>
      </w:r>
      <w:r w:rsidR="00254482">
        <w:t xml:space="preserve">clerical </w:t>
      </w:r>
      <w:r w:rsidR="005512BC">
        <w:t>errors</w:t>
      </w:r>
      <w:r w:rsidR="00A363CD">
        <w:t xml:space="preserve"> in prior dockets</w:t>
      </w:r>
      <w:r w:rsidR="005512BC">
        <w:t xml:space="preserve">, the Parties respectfully request the ALJ to reconsider the decision </w:t>
      </w:r>
      <w:r w:rsidR="002333FD">
        <w:t xml:space="preserve">in Order No. 20 </w:t>
      </w:r>
      <w:r w:rsidR="005512BC">
        <w:t>deny</w:t>
      </w:r>
      <w:r w:rsidR="00254482">
        <w:t>ing</w:t>
      </w:r>
      <w:r w:rsidR="005512BC">
        <w:t xml:space="preserve"> the alternative motion to reopen the record. </w:t>
      </w:r>
    </w:p>
    <w:p w14:paraId="1C62AA7A" w14:textId="77777777" w:rsidR="00431DE8" w:rsidRPr="00431DE8" w:rsidRDefault="00431DE8" w:rsidP="00431DE8">
      <w:pPr>
        <w:pStyle w:val="Paragraph"/>
        <w:rPr>
          <w:bCs/>
        </w:rPr>
      </w:pPr>
    </w:p>
    <w:p w14:paraId="239A8058" w14:textId="0569D4F9" w:rsidR="007C1C19" w:rsidRDefault="007C1C19" w:rsidP="007C1C19">
      <w:pPr>
        <w:pStyle w:val="Heading1"/>
        <w:tabs>
          <w:tab w:val="clear" w:pos="1440"/>
        </w:tabs>
        <w:spacing w:before="0" w:after="0" w:line="360" w:lineRule="auto"/>
        <w:ind w:left="0" w:right="0"/>
      </w:pPr>
      <w:r w:rsidRPr="005E0AD2">
        <w:t>CONCLUSION</w:t>
      </w:r>
    </w:p>
    <w:p w14:paraId="793A7BDE" w14:textId="6CA5BA6C" w:rsidR="007C1C19" w:rsidRDefault="006238FF" w:rsidP="005F53BE">
      <w:pPr>
        <w:autoSpaceDE w:val="0"/>
        <w:autoSpaceDN w:val="0"/>
        <w:adjustRightInd w:val="0"/>
        <w:spacing w:after="0"/>
        <w:rPr>
          <w:bCs/>
        </w:rPr>
      </w:pPr>
      <w:r>
        <w:rPr>
          <w:bCs/>
        </w:rPr>
        <w:t>For the reasons detailed above, the Parties respectfully request th</w:t>
      </w:r>
      <w:r w:rsidR="005F53BE">
        <w:rPr>
          <w:bCs/>
        </w:rPr>
        <w:t xml:space="preserve">at the </w:t>
      </w:r>
      <w:r w:rsidR="000A11E9">
        <w:rPr>
          <w:bCs/>
        </w:rPr>
        <w:t xml:space="preserve">ALJ reconsider the decision made in Order No. 20 and </w:t>
      </w:r>
      <w:r w:rsidR="005F53BE">
        <w:rPr>
          <w:bCs/>
        </w:rPr>
        <w:t xml:space="preserve">issue </w:t>
      </w:r>
      <w:r>
        <w:rPr>
          <w:bCs/>
        </w:rPr>
        <w:t xml:space="preserve">an Order </w:t>
      </w:r>
      <w:r>
        <w:rPr>
          <w:bCs/>
          <w:i/>
          <w:iCs/>
        </w:rPr>
        <w:t>Nunc Pro Tunc</w:t>
      </w:r>
      <w:r>
        <w:rPr>
          <w:bCs/>
        </w:rPr>
        <w:t xml:space="preserve"> or</w:t>
      </w:r>
      <w:r w:rsidR="005F53BE">
        <w:rPr>
          <w:bCs/>
        </w:rPr>
        <w:t>,</w:t>
      </w:r>
      <w:r>
        <w:rPr>
          <w:bCs/>
        </w:rPr>
        <w:t xml:space="preserve"> alternatively</w:t>
      </w:r>
      <w:r w:rsidR="005F53BE">
        <w:rPr>
          <w:bCs/>
        </w:rPr>
        <w:t>,</w:t>
      </w:r>
      <w:r>
        <w:rPr>
          <w:bCs/>
        </w:rPr>
        <w:t xml:space="preserve"> grant </w:t>
      </w:r>
      <w:r w:rsidR="000A11E9">
        <w:rPr>
          <w:bCs/>
        </w:rPr>
        <w:t>the</w:t>
      </w:r>
      <w:r>
        <w:rPr>
          <w:bCs/>
        </w:rPr>
        <w:t xml:space="preserve"> motion to reopen the record to </w:t>
      </w:r>
      <w:r w:rsidR="00B66B8D">
        <w:rPr>
          <w:bCs/>
        </w:rPr>
        <w:t>admit and approve</w:t>
      </w:r>
      <w:r>
        <w:rPr>
          <w:bCs/>
        </w:rPr>
        <w:t xml:space="preserve"> the correct tariff as proposed in Gideon Water’s application</w:t>
      </w:r>
      <w:r w:rsidR="00A363CD">
        <w:rPr>
          <w:bCs/>
        </w:rPr>
        <w:t xml:space="preserve"> and attached to this motion</w:t>
      </w:r>
      <w:r w:rsidR="000743B8">
        <w:rPr>
          <w:bCs/>
        </w:rPr>
        <w:t>.</w:t>
      </w:r>
    </w:p>
    <w:p w14:paraId="4C56D6EA" w14:textId="77777777" w:rsidR="006238FF" w:rsidRDefault="006238FF" w:rsidP="007C1C19">
      <w:pPr>
        <w:autoSpaceDE w:val="0"/>
        <w:autoSpaceDN w:val="0"/>
        <w:adjustRightInd w:val="0"/>
        <w:spacing w:after="0"/>
        <w:ind w:firstLine="0"/>
        <w:rPr>
          <w:bCs/>
        </w:rPr>
      </w:pPr>
    </w:p>
    <w:p w14:paraId="53AEF3ED" w14:textId="3C31379F" w:rsidR="007C1C19" w:rsidRPr="000612C6" w:rsidRDefault="007C1C19" w:rsidP="007C1C19">
      <w:pPr>
        <w:autoSpaceDE w:val="0"/>
        <w:autoSpaceDN w:val="0"/>
        <w:adjustRightInd w:val="0"/>
        <w:spacing w:after="0"/>
        <w:ind w:firstLine="0"/>
        <w:rPr>
          <w:szCs w:val="20"/>
        </w:rPr>
      </w:pPr>
      <w:r w:rsidRPr="000612C6">
        <w:rPr>
          <w:bCs/>
        </w:rPr>
        <w:t xml:space="preserve">Dated: </w:t>
      </w:r>
      <w:r w:rsidRPr="000612C6">
        <w:rPr>
          <w:bCs/>
        </w:rPr>
        <w:fldChar w:fldCharType="begin"/>
      </w:r>
      <w:r w:rsidRPr="000612C6">
        <w:rPr>
          <w:bCs/>
        </w:rPr>
        <w:instrText xml:space="preserve"> DATE \@ "MMMM d, yyyy" </w:instrText>
      </w:r>
      <w:r w:rsidRPr="000612C6">
        <w:rPr>
          <w:bCs/>
        </w:rPr>
        <w:fldChar w:fldCharType="separate"/>
      </w:r>
      <w:r w:rsidR="00896E95">
        <w:rPr>
          <w:bCs/>
          <w:noProof/>
        </w:rPr>
        <w:t>April 1, 2024</w:t>
      </w:r>
      <w:r w:rsidRPr="000612C6">
        <w:rPr>
          <w:bCs/>
        </w:rPr>
        <w:fldChar w:fldCharType="end"/>
      </w:r>
    </w:p>
    <w:p w14:paraId="79D0A3BC" w14:textId="77777777" w:rsidR="007C1C19" w:rsidRPr="000612C6" w:rsidRDefault="007C1C19" w:rsidP="007C1C19">
      <w:pPr>
        <w:spacing w:after="0"/>
        <w:ind w:firstLine="0"/>
        <w:rPr>
          <w:bCs/>
        </w:rPr>
      </w:pPr>
    </w:p>
    <w:p w14:paraId="54265EED" w14:textId="77777777" w:rsidR="007C1C19" w:rsidRPr="000612C6" w:rsidRDefault="007C1C19" w:rsidP="007C1C19">
      <w:pPr>
        <w:spacing w:after="0" w:line="480" w:lineRule="auto"/>
        <w:ind w:left="3600"/>
      </w:pPr>
      <w:r w:rsidRPr="000612C6">
        <w:t>Respectfully submitted,</w:t>
      </w:r>
    </w:p>
    <w:p w14:paraId="5F149F36" w14:textId="77777777" w:rsidR="007C1C19" w:rsidRPr="000612C6" w:rsidRDefault="007C1C19" w:rsidP="007C1C19">
      <w:pPr>
        <w:spacing w:after="0" w:line="240" w:lineRule="auto"/>
        <w:ind w:left="4320" w:firstLine="0"/>
        <w:contextualSpacing/>
        <w:rPr>
          <w:b/>
        </w:rPr>
      </w:pPr>
      <w:r w:rsidRPr="000612C6">
        <w:rPr>
          <w:b/>
        </w:rPr>
        <w:t xml:space="preserve">PUBLIC UTILITY COMMISSION OF TEXAS </w:t>
      </w:r>
    </w:p>
    <w:p w14:paraId="352CB0C9" w14:textId="77777777" w:rsidR="007C1C19" w:rsidRPr="000612C6" w:rsidRDefault="007C1C19" w:rsidP="007C1C19">
      <w:pPr>
        <w:spacing w:after="0" w:line="240" w:lineRule="auto"/>
        <w:ind w:left="4320" w:firstLine="0"/>
        <w:contextualSpacing/>
        <w:rPr>
          <w:b/>
        </w:rPr>
      </w:pPr>
      <w:r w:rsidRPr="000612C6">
        <w:rPr>
          <w:b/>
        </w:rPr>
        <w:t>LEGAL DIVISION</w:t>
      </w:r>
    </w:p>
    <w:p w14:paraId="0E86E484" w14:textId="77777777" w:rsidR="007C1C19" w:rsidRPr="000612C6" w:rsidRDefault="007C1C19" w:rsidP="007C1C19">
      <w:pPr>
        <w:spacing w:after="0" w:line="240" w:lineRule="auto"/>
        <w:ind w:firstLine="0"/>
        <w:rPr>
          <w:szCs w:val="20"/>
        </w:rPr>
      </w:pPr>
    </w:p>
    <w:p w14:paraId="67F95918" w14:textId="77777777" w:rsidR="007C1C19" w:rsidRPr="000612C6" w:rsidRDefault="00E41EC3" w:rsidP="007C1C19">
      <w:pPr>
        <w:spacing w:after="0" w:line="240" w:lineRule="auto"/>
        <w:ind w:left="4320" w:firstLine="0"/>
        <w:rPr>
          <w:rFonts w:eastAsia="Calibri"/>
          <w:szCs w:val="20"/>
        </w:rPr>
      </w:pPr>
      <w:r>
        <w:rPr>
          <w:rFonts w:eastAsia="Calibri"/>
          <w:szCs w:val="20"/>
        </w:rPr>
        <w:t>Marisa Lopez Wagley</w:t>
      </w:r>
    </w:p>
    <w:p w14:paraId="63DBCFF3" w14:textId="77777777" w:rsidR="007C1C19" w:rsidRPr="000612C6" w:rsidRDefault="007C1C19" w:rsidP="007C1C19">
      <w:pPr>
        <w:spacing w:after="0" w:line="240" w:lineRule="auto"/>
        <w:ind w:firstLine="0"/>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02C57C24" w14:textId="6FF141D3" w:rsidR="007C1C19" w:rsidRPr="000612C6" w:rsidRDefault="008453D3" w:rsidP="008453D3">
      <w:pPr>
        <w:tabs>
          <w:tab w:val="left" w:pos="8445"/>
        </w:tabs>
        <w:spacing w:after="0" w:line="240" w:lineRule="auto"/>
        <w:ind w:left="4320" w:firstLine="0"/>
        <w:rPr>
          <w:szCs w:val="20"/>
        </w:rPr>
      </w:pPr>
      <w:r>
        <w:rPr>
          <w:szCs w:val="20"/>
        </w:rPr>
        <w:tab/>
      </w:r>
    </w:p>
    <w:p w14:paraId="6D3822E7" w14:textId="77777777" w:rsidR="007C1C19" w:rsidRPr="000612C6" w:rsidRDefault="00E41EC3" w:rsidP="007C1C19">
      <w:pPr>
        <w:spacing w:after="0" w:line="240" w:lineRule="auto"/>
        <w:ind w:firstLine="4320"/>
        <w:jc w:val="left"/>
      </w:pPr>
      <w:r>
        <w:t>Ian Groetsch</w:t>
      </w:r>
    </w:p>
    <w:p w14:paraId="1D9FF01C" w14:textId="77777777" w:rsidR="007C1C19" w:rsidRPr="000612C6" w:rsidRDefault="007C1C19" w:rsidP="007C1C19">
      <w:pPr>
        <w:spacing w:after="0" w:line="240" w:lineRule="auto"/>
        <w:ind w:firstLine="4320"/>
        <w:jc w:val="left"/>
      </w:pPr>
      <w:r w:rsidRPr="000612C6">
        <w:t>Managing Attorney</w:t>
      </w:r>
    </w:p>
    <w:p w14:paraId="1BCB13DA" w14:textId="77777777" w:rsidR="007C1C19" w:rsidRPr="000612C6" w:rsidRDefault="007C1C19" w:rsidP="007C1C19">
      <w:pPr>
        <w:spacing w:after="0" w:line="240" w:lineRule="auto"/>
        <w:ind w:firstLine="4320"/>
        <w:jc w:val="left"/>
      </w:pPr>
    </w:p>
    <w:p w14:paraId="58C55614"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p>
    <w:p w14:paraId="25842CD6"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5AB8D2FA"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Scott Miles</w:t>
      </w:r>
    </w:p>
    <w:p w14:paraId="7F82945D"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State Bar No. 24098103</w:t>
      </w:r>
    </w:p>
    <w:p w14:paraId="4F82A1EE"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1701 N. Congress Avenue</w:t>
      </w:r>
    </w:p>
    <w:p w14:paraId="618B01E6"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P.O. Box 13326</w:t>
      </w:r>
    </w:p>
    <w:p w14:paraId="2CD4B79D"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Austin, Texas 78711-3326</w:t>
      </w:r>
    </w:p>
    <w:p w14:paraId="7794BA74"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(512) 936-7228</w:t>
      </w:r>
    </w:p>
    <w:p w14:paraId="1FC1EBBA"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(512) 936-7268 (facsimile)</w:t>
      </w:r>
    </w:p>
    <w:p w14:paraId="6D7D1483" w14:textId="77777777" w:rsidR="007C1C19" w:rsidRDefault="007C1C19" w:rsidP="007C1C19">
      <w:pPr>
        <w:overflowPunct w:val="0"/>
        <w:autoSpaceDE w:val="0"/>
        <w:autoSpaceDN w:val="0"/>
        <w:adjustRightInd w:val="0"/>
        <w:spacing w:after="0" w:line="240" w:lineRule="auto"/>
        <w:ind w:left="4320" w:firstLine="0"/>
        <w:jc w:val="left"/>
        <w:textAlignment w:val="baseline"/>
      </w:pPr>
      <w:r w:rsidRPr="000612C6">
        <w:t>Scott.Miles@puc.texas.gov</w:t>
      </w:r>
    </w:p>
    <w:p w14:paraId="7288CC8A" w14:textId="77777777" w:rsidR="0059201D" w:rsidRPr="0051021C" w:rsidRDefault="0059201D" w:rsidP="0051021C">
      <w:pPr>
        <w:pStyle w:val="Paragraph"/>
      </w:pPr>
    </w:p>
    <w:p w14:paraId="051BBA28" w14:textId="2A44A61D"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6667CC" w:rsidRPr="00EF7381">
        <w:t>Docket</w:t>
      </w:r>
      <w:r w:rsidR="006667CC" w:rsidRPr="00D92C94">
        <w:t xml:space="preserve"> No</w:t>
      </w:r>
      <w:r w:rsidR="006667CC" w:rsidRPr="008647EB">
        <w:t>.</w:t>
      </w:r>
      <w:r w:rsidR="006667CC">
        <w:t xml:space="preserve"> 53485</w:t>
      </w:r>
      <w:r w:rsidR="006667CC" w:rsidRPr="006667CC">
        <w:rPr>
          <w:rStyle w:val="PlaceholderText"/>
        </w:rPr>
        <w:t xml:space="preserve"> </w:t>
      </w:r>
      <w:r w:rsidRPr="007E3A22">
        <w:rPr>
          <w:bCs/>
        </w:rPr>
        <w:fldChar w:fldCharType="end"/>
      </w:r>
    </w:p>
    <w:p w14:paraId="13C132ED" w14:textId="77777777" w:rsidR="007C1C19" w:rsidRPr="008647EB" w:rsidRDefault="007C1C19" w:rsidP="007C1C19">
      <w:pPr>
        <w:pStyle w:val="CaseCaption"/>
        <w:spacing w:after="0" w:line="360" w:lineRule="auto"/>
      </w:pPr>
      <w:r w:rsidRPr="008647EB">
        <w:t>CERTIFICATE OF SERVICE</w:t>
      </w:r>
    </w:p>
    <w:p w14:paraId="75CB6FE2" w14:textId="4E86C92F" w:rsidR="007C1C19" w:rsidRPr="008647EB" w:rsidRDefault="007C1C19" w:rsidP="007C1C19">
      <w:pPr>
        <w:pStyle w:val="Paragraph"/>
        <w:keepNext/>
        <w:keepLines/>
      </w:pPr>
      <w:r w:rsidRPr="00893EAC">
        <w:t>I certify that unless otherwise ordered by the presiding officer, notice of the filing of this document was provided to all parties of record via electronic mail on</w:t>
      </w:r>
      <w:r>
        <w:t xml:space="preserve"> </w:t>
      </w:r>
      <w:r w:rsidR="00C96690" w:rsidRPr="000612C6">
        <w:rPr>
          <w:bCs/>
        </w:rPr>
        <w:fldChar w:fldCharType="begin"/>
      </w:r>
      <w:r w:rsidR="00C96690" w:rsidRPr="000612C6">
        <w:rPr>
          <w:bCs/>
        </w:rPr>
        <w:instrText xml:space="preserve"> DATE \@ "MMMM d, yyyy" </w:instrText>
      </w:r>
      <w:r w:rsidR="00C96690" w:rsidRPr="000612C6">
        <w:rPr>
          <w:bCs/>
        </w:rPr>
        <w:fldChar w:fldCharType="separate"/>
      </w:r>
      <w:r w:rsidR="00896E95">
        <w:rPr>
          <w:bCs/>
          <w:noProof/>
        </w:rPr>
        <w:t>April 1, 2024</w:t>
      </w:r>
      <w:r w:rsidR="00C96690" w:rsidRPr="000612C6">
        <w:rPr>
          <w:bCs/>
        </w:rPr>
        <w:fldChar w:fldCharType="end"/>
      </w:r>
      <w:r>
        <w:t xml:space="preserve"> </w:t>
      </w:r>
      <w:r w:rsidRPr="00893EAC">
        <w:t xml:space="preserve">in accordance with the </w:t>
      </w:r>
      <w:r>
        <w:t xml:space="preserve">Second </w:t>
      </w:r>
      <w:r w:rsidRPr="00893EAC">
        <w:t>Order Suspending Rules, issued in Project No. 50664.</w:t>
      </w:r>
      <w:r>
        <w:t xml:space="preserve"> </w:t>
      </w:r>
    </w:p>
    <w:p w14:paraId="18901D60" w14:textId="77777777" w:rsidR="007C1C19" w:rsidRDefault="007C1C19" w:rsidP="007C1C19">
      <w:pPr>
        <w:overflowPunct w:val="0"/>
        <w:autoSpaceDE w:val="0"/>
        <w:autoSpaceDN w:val="0"/>
        <w:adjustRightInd w:val="0"/>
        <w:spacing w:after="0" w:line="240" w:lineRule="auto"/>
        <w:ind w:left="4320" w:firstLine="0"/>
        <w:jc w:val="left"/>
        <w:textAlignment w:val="baseline"/>
        <w:rPr>
          <w:u w:val="single"/>
        </w:rPr>
      </w:pPr>
    </w:p>
    <w:p w14:paraId="6BC3B17B" w14:textId="77777777" w:rsidR="007C1C19" w:rsidRDefault="007C1C19" w:rsidP="007C1C19">
      <w:pPr>
        <w:overflowPunct w:val="0"/>
        <w:autoSpaceDE w:val="0"/>
        <w:autoSpaceDN w:val="0"/>
        <w:adjustRightInd w:val="0"/>
        <w:spacing w:after="0" w:line="240" w:lineRule="auto"/>
        <w:ind w:left="4320" w:firstLine="0"/>
        <w:jc w:val="left"/>
        <w:textAlignment w:val="baseline"/>
        <w:rPr>
          <w:u w:val="single"/>
        </w:rPr>
      </w:pPr>
    </w:p>
    <w:p w14:paraId="4D7CB212"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43C83614"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Scott Miles</w:t>
      </w:r>
    </w:p>
    <w:p w14:paraId="72CF796D" w14:textId="77777777" w:rsidR="00DA790F" w:rsidRPr="00893EAC" w:rsidRDefault="00DA790F" w:rsidP="007C1C19">
      <w:pPr>
        <w:pStyle w:val="CaseCaption"/>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38E11" w14:textId="77777777" w:rsidR="00AF1DDD" w:rsidRDefault="00AF1DDD">
      <w:pPr>
        <w:spacing w:after="0" w:line="240" w:lineRule="auto"/>
      </w:pPr>
      <w:r>
        <w:separator/>
      </w:r>
    </w:p>
  </w:endnote>
  <w:endnote w:type="continuationSeparator" w:id="0">
    <w:p w14:paraId="5702F3E8" w14:textId="77777777" w:rsidR="00AF1DDD" w:rsidRDefault="00AF1D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5347F"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CEBA143" w14:textId="77777777" w:rsidR="00071BFA" w:rsidRDefault="00071BFA" w:rsidP="008016FB">
    <w:pPr>
      <w:pStyle w:val="Footer"/>
    </w:pPr>
  </w:p>
  <w:p w14:paraId="169658DD" w14:textId="77777777" w:rsidR="00071BFA" w:rsidRDefault="00071BFA" w:rsidP="008016FB"/>
  <w:p w14:paraId="20DBE1BD"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B8EA1" w14:textId="77777777" w:rsidR="00AF1DDD" w:rsidRDefault="00AF1DDD">
      <w:pPr>
        <w:spacing w:after="0" w:line="240" w:lineRule="auto"/>
      </w:pPr>
      <w:r>
        <w:separator/>
      </w:r>
    </w:p>
  </w:footnote>
  <w:footnote w:type="continuationSeparator" w:id="0">
    <w:p w14:paraId="0C12E3C2" w14:textId="77777777" w:rsidR="00AF1DDD" w:rsidRDefault="00AF1DDD">
      <w:pPr>
        <w:spacing w:after="0" w:line="240" w:lineRule="auto"/>
      </w:pPr>
      <w:r>
        <w:continuationSeparator/>
      </w:r>
    </w:p>
  </w:footnote>
  <w:footnote w:type="continuationNotice" w:id="1">
    <w:p w14:paraId="761E2D46" w14:textId="77777777" w:rsidR="00AF1DDD" w:rsidRDefault="00AF1DDD">
      <w:pPr>
        <w:spacing w:after="0" w:line="240" w:lineRule="auto"/>
      </w:pPr>
    </w:p>
  </w:footnote>
  <w:footnote w:id="2">
    <w:p w14:paraId="4EDE9545" w14:textId="5E08D468" w:rsidR="009624EE" w:rsidRDefault="009624EE">
      <w:pPr>
        <w:pStyle w:val="FootnoteText"/>
      </w:pPr>
      <w:r>
        <w:rPr>
          <w:rStyle w:val="FootnoteReference"/>
        </w:rPr>
        <w:footnoteRef/>
      </w:r>
      <w:r>
        <w:t xml:space="preserve">  </w:t>
      </w:r>
      <w:r w:rsidR="00800147">
        <w:t>The Parties do not waive any right to appeal any such order to the Commission.</w:t>
      </w:r>
      <w:r>
        <w:t xml:space="preserve">   </w:t>
      </w:r>
    </w:p>
  </w:footnote>
  <w:footnote w:id="3">
    <w:p w14:paraId="00112CA8" w14:textId="4E35F5D9" w:rsidR="005E60E3" w:rsidRDefault="005E60E3" w:rsidP="005E60E3">
      <w:pPr>
        <w:pStyle w:val="FootnoteText"/>
      </w:pPr>
      <w:r>
        <w:rPr>
          <w:rStyle w:val="FootnoteReference"/>
        </w:rPr>
        <w:footnoteRef/>
      </w:r>
      <w:r>
        <w:t xml:space="preserve">  </w:t>
      </w:r>
      <w:r w:rsidR="00C24231">
        <w:t xml:space="preserve">Joint Motion for Order </w:t>
      </w:r>
      <w:r w:rsidR="00C24231">
        <w:rPr>
          <w:i/>
          <w:iCs/>
        </w:rPr>
        <w:t>Nunc Pro Tunc</w:t>
      </w:r>
      <w:r w:rsidR="00C24231">
        <w:t xml:space="preserve"> or, Alternatively, to Reopen the Record </w:t>
      </w:r>
      <w:r w:rsidR="00473A69">
        <w:t xml:space="preserve">at 2-4 </w:t>
      </w:r>
      <w:r w:rsidR="00C24231">
        <w:t>(Mar. 6, 2024</w:t>
      </w:r>
      <w:r w:rsidR="00701675">
        <w:t>)</w:t>
      </w:r>
      <w:r w:rsidR="00C24231">
        <w:t>.</w:t>
      </w:r>
      <w:r>
        <w:t xml:space="preserve"> </w:t>
      </w:r>
    </w:p>
  </w:footnote>
  <w:footnote w:id="4">
    <w:p w14:paraId="3CAE2BBE" w14:textId="5F5C4609" w:rsidR="00033EBF" w:rsidRDefault="00033EBF">
      <w:pPr>
        <w:pStyle w:val="FootnoteText"/>
      </w:pPr>
      <w:r>
        <w:rPr>
          <w:rStyle w:val="FootnoteReference"/>
        </w:rPr>
        <w:footnoteRef/>
      </w:r>
      <w:r>
        <w:t xml:space="preserve">  Order No. 20 Denying Motion for Order </w:t>
      </w:r>
      <w:r>
        <w:rPr>
          <w:i/>
          <w:iCs/>
        </w:rPr>
        <w:t>Nunc Pro Tunc</w:t>
      </w:r>
      <w:r>
        <w:t xml:space="preserve"> and Motion to Reopen the Record at 4 (Mar. 26, 2024)</w:t>
      </w:r>
      <w:r w:rsidR="006365E3">
        <w:t xml:space="preserve"> (Order No. 20)</w:t>
      </w:r>
      <w:r>
        <w:t xml:space="preserve">. </w:t>
      </w:r>
    </w:p>
  </w:footnote>
  <w:footnote w:id="5">
    <w:p w14:paraId="044F56D2" w14:textId="159AE6C1" w:rsidR="00E52E23" w:rsidRDefault="00E52E23">
      <w:pPr>
        <w:pStyle w:val="FootnoteText"/>
      </w:pPr>
      <w:r>
        <w:rPr>
          <w:rStyle w:val="FootnoteReference"/>
        </w:rPr>
        <w:footnoteRef/>
      </w:r>
      <w:r>
        <w:t xml:space="preserve">  Application at 29, Attachment E at 1 (Apr</w:t>
      </w:r>
      <w:r w:rsidR="00D11EF3">
        <w:t>.</w:t>
      </w:r>
      <w:r>
        <w:t xml:space="preserve"> 12, 2022).  </w:t>
      </w:r>
    </w:p>
  </w:footnote>
  <w:footnote w:id="6">
    <w:p w14:paraId="7DB5F36A" w14:textId="116409B1" w:rsidR="00E52E23" w:rsidRDefault="00E52E23">
      <w:pPr>
        <w:pStyle w:val="FootnoteText"/>
      </w:pPr>
      <w:r>
        <w:rPr>
          <w:rStyle w:val="FootnoteReference"/>
        </w:rPr>
        <w:footnoteRef/>
      </w:r>
      <w:r>
        <w:t xml:space="preserve">  Application at 29-45, Attachment E at 1-17 (stating “PUCT 9/1/2014 Water Tariff (Previous TCEQ Form 10330</w:t>
      </w:r>
      <w:r w:rsidR="00384B00">
        <w:t>)</w:t>
      </w:r>
      <w:r>
        <w:t xml:space="preserve">”). </w:t>
      </w:r>
    </w:p>
  </w:footnote>
  <w:footnote w:id="7">
    <w:p w14:paraId="44487CB5" w14:textId="2A358D0F" w:rsidR="006365E3" w:rsidRDefault="006365E3">
      <w:pPr>
        <w:pStyle w:val="FootnoteText"/>
      </w:pPr>
      <w:r>
        <w:rPr>
          <w:rStyle w:val="FootnoteReference"/>
        </w:rPr>
        <w:footnoteRef/>
      </w:r>
      <w:r>
        <w:t xml:space="preserve">  Notice of Approval at Findings of Fact Nos. 47-49 (Jul</w:t>
      </w:r>
      <w:r w:rsidR="00D11EF3">
        <w:t>y</w:t>
      </w:r>
      <w:r>
        <w:t xml:space="preserve"> 31, 2023).</w:t>
      </w:r>
    </w:p>
  </w:footnote>
  <w:footnote w:id="8">
    <w:p w14:paraId="44DEC4CD" w14:textId="77777777" w:rsidR="00796DE6" w:rsidRDefault="00796DE6" w:rsidP="00796DE6">
      <w:pPr>
        <w:pStyle w:val="FootnoteText"/>
      </w:pPr>
      <w:r>
        <w:rPr>
          <w:rStyle w:val="FootnoteReference"/>
        </w:rPr>
        <w:footnoteRef/>
      </w:r>
      <w:r>
        <w:t xml:space="preserve">  Application at 48-52, Attachment F at 2-6. </w:t>
      </w:r>
    </w:p>
  </w:footnote>
  <w:footnote w:id="9">
    <w:p w14:paraId="523EBBE8" w14:textId="30B26658" w:rsidR="006365E3" w:rsidRDefault="006365E3">
      <w:pPr>
        <w:pStyle w:val="FootnoteText"/>
      </w:pPr>
      <w:r>
        <w:rPr>
          <w:rStyle w:val="FootnoteReference"/>
        </w:rPr>
        <w:footnoteRef/>
      </w:r>
      <w:r w:rsidR="00C24231">
        <w:t xml:space="preserve">  Order No. 20 at 5.</w:t>
      </w:r>
      <w:r>
        <w:t xml:space="preserve"> </w:t>
      </w:r>
    </w:p>
  </w:footnote>
  <w:footnote w:id="10">
    <w:p w14:paraId="3C5476B9" w14:textId="0A07B9BE" w:rsidR="000804B7" w:rsidRDefault="000804B7">
      <w:pPr>
        <w:pStyle w:val="FootnoteText"/>
      </w:pPr>
      <w:r>
        <w:rPr>
          <w:rStyle w:val="FootnoteReference"/>
        </w:rPr>
        <w:footnoteRef/>
      </w:r>
      <w:r>
        <w:t xml:space="preserve">  </w:t>
      </w:r>
      <w:r>
        <w:rPr>
          <w:i/>
          <w:iCs/>
        </w:rPr>
        <w:t>Id</w:t>
      </w:r>
      <w:r>
        <w:t>. at 2-4 (referring to Gideon Water’s application and attached tariff and proposed rates, Staff’s final recommendation and attached expert memorandums, the findings of fact included in the Notice of Approval, recognizing that Staff did not make any changes to Gideon Water’s proposed rates)</w:t>
      </w:r>
      <w:r w:rsidR="00796DE6">
        <w:t xml:space="preserve">; </w:t>
      </w:r>
      <w:r w:rsidR="00796DE6">
        <w:rPr>
          <w:i/>
          <w:iCs/>
        </w:rPr>
        <w:t xml:space="preserve">see also </w:t>
      </w:r>
      <w:r w:rsidR="00D11EF3">
        <w:rPr>
          <w:i/>
          <w:iCs/>
        </w:rPr>
        <w:t>supra</w:t>
      </w:r>
      <w:r w:rsidR="00D11EF3">
        <w:t xml:space="preserve"> </w:t>
      </w:r>
      <w:r w:rsidR="00796DE6">
        <w:t>notes 6-7 in this motion.</w:t>
      </w:r>
      <w:r>
        <w:t xml:space="preserve"> </w:t>
      </w:r>
    </w:p>
  </w:footnote>
  <w:footnote w:id="11">
    <w:p w14:paraId="6FA7A74E" w14:textId="271B8850" w:rsidR="00B5725E" w:rsidRDefault="00B5725E" w:rsidP="00B5725E">
      <w:pPr>
        <w:pStyle w:val="FootnoteText"/>
      </w:pPr>
      <w:r>
        <w:rPr>
          <w:rStyle w:val="FootnoteReference"/>
        </w:rPr>
        <w:footnoteRef/>
      </w:r>
      <w:r>
        <w:t xml:space="preserve">  Order No. 20 at 5 (citing to Joint Motion for Order </w:t>
      </w:r>
      <w:r>
        <w:rPr>
          <w:i/>
          <w:iCs/>
        </w:rPr>
        <w:t>Nunc Pro Tunc</w:t>
      </w:r>
      <w:r>
        <w:t xml:space="preserve"> or, Alternatively, to Reopen the Record at 3-4).   </w:t>
      </w:r>
    </w:p>
  </w:footnote>
  <w:footnote w:id="12">
    <w:p w14:paraId="4720CF5D" w14:textId="3F314BE5" w:rsidR="00AA09BD" w:rsidRDefault="00AA09BD">
      <w:pPr>
        <w:pStyle w:val="FootnoteText"/>
      </w:pPr>
      <w:r>
        <w:rPr>
          <w:rStyle w:val="FootnoteReference"/>
        </w:rPr>
        <w:footnoteRef/>
      </w:r>
      <w:r>
        <w:t xml:space="preserve">  </w:t>
      </w:r>
      <w:r w:rsidRPr="00AA09BD">
        <w:rPr>
          <w:i/>
          <w:iCs/>
        </w:rPr>
        <w:t>Gray v. Turner</w:t>
      </w:r>
      <w:r>
        <w:t xml:space="preserve">, 807 S.W.2d 818, 823 (Tex.App.—Amarillo 1991, no pet.) (citing to </w:t>
      </w:r>
      <w:r w:rsidRPr="00AA09BD">
        <w:rPr>
          <w:i/>
          <w:iCs/>
        </w:rPr>
        <w:t>Andrews v. Koch</w:t>
      </w:r>
      <w:r>
        <w:t>, 701 S.W.2d 584, 586 (Tex. 1986</w:t>
      </w:r>
      <w:r w:rsidR="00D11EF3">
        <w:t>)</w:t>
      </w:r>
      <w:r>
        <w:t xml:space="preserve">). </w:t>
      </w:r>
    </w:p>
  </w:footnote>
  <w:footnote w:id="13">
    <w:p w14:paraId="76676839" w14:textId="3FCA6243" w:rsidR="003A08D2" w:rsidRDefault="003A08D2" w:rsidP="003A08D2">
      <w:pPr>
        <w:pStyle w:val="FootnoteText"/>
      </w:pPr>
      <w:r>
        <w:rPr>
          <w:rStyle w:val="FootnoteReference"/>
        </w:rPr>
        <w:footnoteRef/>
      </w:r>
      <w:r>
        <w:t xml:space="preserve">  </w:t>
      </w:r>
      <w:r w:rsidRPr="00FA00B4">
        <w:rPr>
          <w:i/>
          <w:iCs/>
        </w:rPr>
        <w:t>Application of Beachview Acres Water Association and Hilco United Services, Inc. dba Hilco H20 for Sale, Transfer, or Merger of Facilities and Certificate Rights in Hill County</w:t>
      </w:r>
      <w:r>
        <w:t>, Docket No. 51549, Order No. 13-Reopening Record and Admitting Additional Evidence (Jun</w:t>
      </w:r>
      <w:r w:rsidR="00D11EF3">
        <w:t xml:space="preserve">e </w:t>
      </w:r>
      <w:r>
        <w:t xml:space="preserve">8, 2022); </w:t>
      </w:r>
      <w:r>
        <w:rPr>
          <w:i/>
          <w:iCs/>
        </w:rPr>
        <w:t xml:space="preserve">see also </w:t>
      </w:r>
      <w:r w:rsidRPr="00860754">
        <w:rPr>
          <w:i/>
          <w:iCs/>
        </w:rPr>
        <w:t xml:space="preserve">Petition </w:t>
      </w:r>
      <w:r>
        <w:rPr>
          <w:i/>
          <w:iCs/>
        </w:rPr>
        <w:t>o</w:t>
      </w:r>
      <w:r w:rsidRPr="00860754">
        <w:rPr>
          <w:i/>
          <w:iCs/>
        </w:rPr>
        <w:t>f H</w:t>
      </w:r>
      <w:r>
        <w:rPr>
          <w:i/>
          <w:iCs/>
        </w:rPr>
        <w:t>MI</w:t>
      </w:r>
      <w:r w:rsidRPr="00860754">
        <w:rPr>
          <w:i/>
          <w:iCs/>
        </w:rPr>
        <w:t>-Oak Grove L</w:t>
      </w:r>
      <w:r>
        <w:rPr>
          <w:i/>
          <w:iCs/>
        </w:rPr>
        <w:t>LC</w:t>
      </w:r>
      <w:r w:rsidRPr="00860754">
        <w:rPr>
          <w:i/>
          <w:iCs/>
        </w:rPr>
        <w:t xml:space="preserve"> </w:t>
      </w:r>
      <w:r>
        <w:rPr>
          <w:i/>
          <w:iCs/>
        </w:rPr>
        <w:t>t</w:t>
      </w:r>
      <w:r w:rsidRPr="00860754">
        <w:rPr>
          <w:i/>
          <w:iCs/>
        </w:rPr>
        <w:t xml:space="preserve">o Amend Bethesda Water Supply Corporation's Certificate </w:t>
      </w:r>
      <w:r>
        <w:rPr>
          <w:i/>
          <w:iCs/>
        </w:rPr>
        <w:t>o</w:t>
      </w:r>
      <w:r w:rsidRPr="00860754">
        <w:rPr>
          <w:i/>
          <w:iCs/>
        </w:rPr>
        <w:t xml:space="preserve">f Convenience </w:t>
      </w:r>
      <w:r>
        <w:rPr>
          <w:i/>
          <w:iCs/>
        </w:rPr>
        <w:t>a</w:t>
      </w:r>
      <w:r w:rsidRPr="00860754">
        <w:rPr>
          <w:i/>
          <w:iCs/>
        </w:rPr>
        <w:t xml:space="preserve">nd Necessity </w:t>
      </w:r>
      <w:r>
        <w:rPr>
          <w:i/>
          <w:iCs/>
        </w:rPr>
        <w:t>i</w:t>
      </w:r>
      <w:r w:rsidRPr="00860754">
        <w:rPr>
          <w:i/>
          <w:iCs/>
        </w:rPr>
        <w:t xml:space="preserve">n Tarrant County </w:t>
      </w:r>
      <w:r>
        <w:rPr>
          <w:i/>
          <w:iCs/>
        </w:rPr>
        <w:t>b</w:t>
      </w:r>
      <w:r w:rsidRPr="00860754">
        <w:rPr>
          <w:i/>
          <w:iCs/>
        </w:rPr>
        <w:t>y Expedited Release</w:t>
      </w:r>
      <w:r>
        <w:t xml:space="preserve">, Docket No. 52411, Order No. 10 Granting Motion to Reopen Record and Rescinding Order Nos. 4 and 6 and Notice of Approval Making a Determination on Compensation (Oct. 18, 2022).       </w:t>
      </w:r>
    </w:p>
  </w:footnote>
  <w:footnote w:id="14">
    <w:p w14:paraId="3656BC28" w14:textId="3CC00B35" w:rsidR="002333FD" w:rsidRDefault="002333FD">
      <w:pPr>
        <w:pStyle w:val="FootnoteText"/>
      </w:pPr>
      <w:r>
        <w:rPr>
          <w:rStyle w:val="FootnoteReference"/>
        </w:rPr>
        <w:footnoteRef/>
      </w:r>
      <w:r>
        <w:t xml:space="preserve">  </w:t>
      </w:r>
      <w:r>
        <w:rPr>
          <w:i/>
          <w:iCs/>
        </w:rPr>
        <w:t>Application of Gideon Water Limited Liability Company for a Minor Tariff Change</w:t>
      </w:r>
      <w:r>
        <w:t xml:space="preserve">, Tariff Control No. 55819 (pending). </w:t>
      </w:r>
    </w:p>
  </w:footnote>
  <w:footnote w:id="15">
    <w:p w14:paraId="7007C9EE" w14:textId="05D33BA1" w:rsidR="00B44DC8" w:rsidRDefault="00B44DC8">
      <w:pPr>
        <w:pStyle w:val="FootnoteText"/>
      </w:pPr>
      <w:r>
        <w:rPr>
          <w:rStyle w:val="FootnoteReference"/>
        </w:rPr>
        <w:footnoteRef/>
      </w:r>
      <w:r>
        <w:t xml:space="preserve">  </w:t>
      </w:r>
      <w:r w:rsidR="002333FD" w:rsidRPr="002333FD">
        <w:rPr>
          <w:i/>
          <w:iCs/>
        </w:rPr>
        <w:t>Id</w:t>
      </w:r>
      <w:r w:rsidR="002333FD">
        <w:t xml:space="preserve">., </w:t>
      </w:r>
      <w:r>
        <w:t xml:space="preserve">Order No. 1 Motion to Dismiss (Nov. 15, 2023).   </w:t>
      </w:r>
    </w:p>
  </w:footnote>
  <w:footnote w:id="16">
    <w:p w14:paraId="2DD6AF34" w14:textId="5302E838" w:rsidR="00B44DC8" w:rsidRPr="00B44DC8" w:rsidRDefault="00B44DC8">
      <w:pPr>
        <w:pStyle w:val="FootnoteText"/>
      </w:pPr>
      <w:r>
        <w:rPr>
          <w:rStyle w:val="FootnoteReference"/>
        </w:rPr>
        <w:footnoteRef/>
      </w:r>
      <w:r>
        <w:t xml:space="preserve">  </w:t>
      </w:r>
      <w:r>
        <w:rPr>
          <w:i/>
          <w:iCs/>
        </w:rPr>
        <w:t>Id</w:t>
      </w:r>
      <w:r>
        <w:t xml:space="preserve">., Order No. 3 Requiring Commission Staff Comments (Dec. 12, 2023).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5B06D"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439447224">
    <w:abstractNumId w:val="10"/>
  </w:num>
  <w:num w:numId="2" w16cid:durableId="1886218125">
    <w:abstractNumId w:val="24"/>
  </w:num>
  <w:num w:numId="3" w16cid:durableId="1447575890">
    <w:abstractNumId w:val="15"/>
  </w:num>
  <w:num w:numId="4" w16cid:durableId="1082751928">
    <w:abstractNumId w:val="12"/>
  </w:num>
  <w:num w:numId="5" w16cid:durableId="442189172">
    <w:abstractNumId w:val="23"/>
  </w:num>
  <w:num w:numId="6" w16cid:durableId="1410469602">
    <w:abstractNumId w:val="22"/>
  </w:num>
  <w:num w:numId="7" w16cid:durableId="1431461881">
    <w:abstractNumId w:val="16"/>
  </w:num>
  <w:num w:numId="8" w16cid:durableId="269287610">
    <w:abstractNumId w:val="17"/>
  </w:num>
  <w:num w:numId="9" w16cid:durableId="5713519">
    <w:abstractNumId w:val="20"/>
  </w:num>
  <w:num w:numId="10" w16cid:durableId="1029530196">
    <w:abstractNumId w:val="21"/>
  </w:num>
  <w:num w:numId="11" w16cid:durableId="618798251">
    <w:abstractNumId w:val="13"/>
  </w:num>
  <w:num w:numId="12" w16cid:durableId="1248811654">
    <w:abstractNumId w:val="19"/>
  </w:num>
  <w:num w:numId="13" w16cid:durableId="168179347">
    <w:abstractNumId w:val="9"/>
  </w:num>
  <w:num w:numId="14" w16cid:durableId="925501630">
    <w:abstractNumId w:val="7"/>
  </w:num>
  <w:num w:numId="15" w16cid:durableId="2130200326">
    <w:abstractNumId w:val="6"/>
  </w:num>
  <w:num w:numId="16" w16cid:durableId="919174196">
    <w:abstractNumId w:val="5"/>
  </w:num>
  <w:num w:numId="17" w16cid:durableId="1182745321">
    <w:abstractNumId w:val="4"/>
  </w:num>
  <w:num w:numId="18" w16cid:durableId="1873810795">
    <w:abstractNumId w:val="8"/>
  </w:num>
  <w:num w:numId="19" w16cid:durableId="808984980">
    <w:abstractNumId w:val="3"/>
  </w:num>
  <w:num w:numId="20" w16cid:durableId="51277286">
    <w:abstractNumId w:val="2"/>
  </w:num>
  <w:num w:numId="21" w16cid:durableId="1420785011">
    <w:abstractNumId w:val="1"/>
  </w:num>
  <w:num w:numId="22" w16cid:durableId="967587380">
    <w:abstractNumId w:val="0"/>
  </w:num>
  <w:num w:numId="23" w16cid:durableId="1989360705">
    <w:abstractNumId w:val="11"/>
  </w:num>
  <w:num w:numId="24" w16cid:durableId="1791708925">
    <w:abstractNumId w:val="14"/>
  </w:num>
  <w:num w:numId="25" w16cid:durableId="175882126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64B"/>
    <w:rsid w:val="000008E2"/>
    <w:rsid w:val="0000107F"/>
    <w:rsid w:val="000038EE"/>
    <w:rsid w:val="00003FE4"/>
    <w:rsid w:val="00006869"/>
    <w:rsid w:val="00010C7C"/>
    <w:rsid w:val="00011A9B"/>
    <w:rsid w:val="000134BB"/>
    <w:rsid w:val="00014359"/>
    <w:rsid w:val="00014833"/>
    <w:rsid w:val="00015160"/>
    <w:rsid w:val="00015C32"/>
    <w:rsid w:val="00016F1F"/>
    <w:rsid w:val="00022FA6"/>
    <w:rsid w:val="000233F8"/>
    <w:rsid w:val="000274E7"/>
    <w:rsid w:val="00030E0B"/>
    <w:rsid w:val="00033EBF"/>
    <w:rsid w:val="000357D5"/>
    <w:rsid w:val="00035DE9"/>
    <w:rsid w:val="000406D7"/>
    <w:rsid w:val="00041B32"/>
    <w:rsid w:val="00041F8A"/>
    <w:rsid w:val="000434C0"/>
    <w:rsid w:val="00047A27"/>
    <w:rsid w:val="00050EC3"/>
    <w:rsid w:val="00051630"/>
    <w:rsid w:val="00054407"/>
    <w:rsid w:val="000577AB"/>
    <w:rsid w:val="00061E7A"/>
    <w:rsid w:val="000621BB"/>
    <w:rsid w:val="0006297B"/>
    <w:rsid w:val="00063014"/>
    <w:rsid w:val="00064A66"/>
    <w:rsid w:val="0006743A"/>
    <w:rsid w:val="00071BFA"/>
    <w:rsid w:val="000722C0"/>
    <w:rsid w:val="00072FE5"/>
    <w:rsid w:val="00073322"/>
    <w:rsid w:val="000743B8"/>
    <w:rsid w:val="00074832"/>
    <w:rsid w:val="000767DB"/>
    <w:rsid w:val="00077EC5"/>
    <w:rsid w:val="000804B7"/>
    <w:rsid w:val="0008265B"/>
    <w:rsid w:val="00082793"/>
    <w:rsid w:val="000857EC"/>
    <w:rsid w:val="00086CE5"/>
    <w:rsid w:val="00092039"/>
    <w:rsid w:val="00092070"/>
    <w:rsid w:val="00092B02"/>
    <w:rsid w:val="0009361B"/>
    <w:rsid w:val="0009426E"/>
    <w:rsid w:val="00094D6D"/>
    <w:rsid w:val="00097407"/>
    <w:rsid w:val="000A11E9"/>
    <w:rsid w:val="000A15D8"/>
    <w:rsid w:val="000A1743"/>
    <w:rsid w:val="000B04D8"/>
    <w:rsid w:val="000B10C9"/>
    <w:rsid w:val="000B163B"/>
    <w:rsid w:val="000B1812"/>
    <w:rsid w:val="000B18EF"/>
    <w:rsid w:val="000B5BCF"/>
    <w:rsid w:val="000B5F1B"/>
    <w:rsid w:val="000C29F8"/>
    <w:rsid w:val="000C32B4"/>
    <w:rsid w:val="000C4031"/>
    <w:rsid w:val="000C6535"/>
    <w:rsid w:val="000C6A4A"/>
    <w:rsid w:val="000C6AF9"/>
    <w:rsid w:val="000D3CDD"/>
    <w:rsid w:val="000D3DDB"/>
    <w:rsid w:val="000D4AA2"/>
    <w:rsid w:val="000D54AD"/>
    <w:rsid w:val="000D5F63"/>
    <w:rsid w:val="000E26FE"/>
    <w:rsid w:val="000E6961"/>
    <w:rsid w:val="000F0183"/>
    <w:rsid w:val="000F1B5D"/>
    <w:rsid w:val="000F1F40"/>
    <w:rsid w:val="000F2CCD"/>
    <w:rsid w:val="000F6BEB"/>
    <w:rsid w:val="000F7F9C"/>
    <w:rsid w:val="00100E47"/>
    <w:rsid w:val="00101DD7"/>
    <w:rsid w:val="00101E9A"/>
    <w:rsid w:val="0010359F"/>
    <w:rsid w:val="00104BD4"/>
    <w:rsid w:val="001067EE"/>
    <w:rsid w:val="00106A78"/>
    <w:rsid w:val="00106C86"/>
    <w:rsid w:val="00110861"/>
    <w:rsid w:val="0011215F"/>
    <w:rsid w:val="001171A2"/>
    <w:rsid w:val="00121F46"/>
    <w:rsid w:val="00122A95"/>
    <w:rsid w:val="00122C66"/>
    <w:rsid w:val="001248E8"/>
    <w:rsid w:val="00124FEB"/>
    <w:rsid w:val="00125007"/>
    <w:rsid w:val="00125C6D"/>
    <w:rsid w:val="00127224"/>
    <w:rsid w:val="001276F3"/>
    <w:rsid w:val="00132937"/>
    <w:rsid w:val="00132C88"/>
    <w:rsid w:val="0013403B"/>
    <w:rsid w:val="001347B7"/>
    <w:rsid w:val="001370E3"/>
    <w:rsid w:val="00140FCF"/>
    <w:rsid w:val="00143BAC"/>
    <w:rsid w:val="00143DBB"/>
    <w:rsid w:val="001449F7"/>
    <w:rsid w:val="00145A50"/>
    <w:rsid w:val="00145A64"/>
    <w:rsid w:val="00147053"/>
    <w:rsid w:val="001478CB"/>
    <w:rsid w:val="001504CC"/>
    <w:rsid w:val="00151409"/>
    <w:rsid w:val="001515C8"/>
    <w:rsid w:val="0015225A"/>
    <w:rsid w:val="00152E43"/>
    <w:rsid w:val="00154618"/>
    <w:rsid w:val="001569A7"/>
    <w:rsid w:val="00160B90"/>
    <w:rsid w:val="00162210"/>
    <w:rsid w:val="0016347D"/>
    <w:rsid w:val="00163756"/>
    <w:rsid w:val="00163EA2"/>
    <w:rsid w:val="00166DA4"/>
    <w:rsid w:val="00166EF5"/>
    <w:rsid w:val="0016707F"/>
    <w:rsid w:val="001674A8"/>
    <w:rsid w:val="00167865"/>
    <w:rsid w:val="00167B9A"/>
    <w:rsid w:val="00170C23"/>
    <w:rsid w:val="00170CA0"/>
    <w:rsid w:val="001711C0"/>
    <w:rsid w:val="0017204A"/>
    <w:rsid w:val="00172793"/>
    <w:rsid w:val="00175194"/>
    <w:rsid w:val="001754DD"/>
    <w:rsid w:val="00176754"/>
    <w:rsid w:val="00176BF1"/>
    <w:rsid w:val="00176D68"/>
    <w:rsid w:val="00191CC3"/>
    <w:rsid w:val="00192691"/>
    <w:rsid w:val="00194DC4"/>
    <w:rsid w:val="00195608"/>
    <w:rsid w:val="0019726B"/>
    <w:rsid w:val="00197531"/>
    <w:rsid w:val="001A0AE2"/>
    <w:rsid w:val="001A2D16"/>
    <w:rsid w:val="001A4E3E"/>
    <w:rsid w:val="001A51AA"/>
    <w:rsid w:val="001A5D0B"/>
    <w:rsid w:val="001A6E57"/>
    <w:rsid w:val="001A7BD4"/>
    <w:rsid w:val="001A7DBE"/>
    <w:rsid w:val="001B0D9A"/>
    <w:rsid w:val="001B175B"/>
    <w:rsid w:val="001B1A66"/>
    <w:rsid w:val="001B4D69"/>
    <w:rsid w:val="001B52FD"/>
    <w:rsid w:val="001B58ED"/>
    <w:rsid w:val="001B600B"/>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3EDB"/>
    <w:rsid w:val="001F47C0"/>
    <w:rsid w:val="001F4AC5"/>
    <w:rsid w:val="001F5FDD"/>
    <w:rsid w:val="001F7450"/>
    <w:rsid w:val="00200659"/>
    <w:rsid w:val="00201516"/>
    <w:rsid w:val="0020243D"/>
    <w:rsid w:val="0020396D"/>
    <w:rsid w:val="00204274"/>
    <w:rsid w:val="002046FE"/>
    <w:rsid w:val="0020471E"/>
    <w:rsid w:val="0020473E"/>
    <w:rsid w:val="002053CD"/>
    <w:rsid w:val="00206549"/>
    <w:rsid w:val="0020799A"/>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3FD"/>
    <w:rsid w:val="0023351C"/>
    <w:rsid w:val="0023455C"/>
    <w:rsid w:val="002351FA"/>
    <w:rsid w:val="002368DC"/>
    <w:rsid w:val="00237AD2"/>
    <w:rsid w:val="002407CD"/>
    <w:rsid w:val="00242505"/>
    <w:rsid w:val="0024270C"/>
    <w:rsid w:val="0024377E"/>
    <w:rsid w:val="00243C87"/>
    <w:rsid w:val="00247F89"/>
    <w:rsid w:val="00253FE6"/>
    <w:rsid w:val="00254482"/>
    <w:rsid w:val="00254488"/>
    <w:rsid w:val="00256D5A"/>
    <w:rsid w:val="0025700B"/>
    <w:rsid w:val="00261AFE"/>
    <w:rsid w:val="0026407F"/>
    <w:rsid w:val="002650E5"/>
    <w:rsid w:val="002670A1"/>
    <w:rsid w:val="00270C7B"/>
    <w:rsid w:val="00271524"/>
    <w:rsid w:val="002720F6"/>
    <w:rsid w:val="00272208"/>
    <w:rsid w:val="00273FF4"/>
    <w:rsid w:val="0027632D"/>
    <w:rsid w:val="002821AF"/>
    <w:rsid w:val="00282897"/>
    <w:rsid w:val="0028290A"/>
    <w:rsid w:val="00283B40"/>
    <w:rsid w:val="00283F39"/>
    <w:rsid w:val="00285A49"/>
    <w:rsid w:val="00285CF8"/>
    <w:rsid w:val="00286D26"/>
    <w:rsid w:val="002871A5"/>
    <w:rsid w:val="0029005F"/>
    <w:rsid w:val="0029550E"/>
    <w:rsid w:val="00296BA8"/>
    <w:rsid w:val="0029706D"/>
    <w:rsid w:val="002975FA"/>
    <w:rsid w:val="002A094E"/>
    <w:rsid w:val="002A1898"/>
    <w:rsid w:val="002A4485"/>
    <w:rsid w:val="002A47BF"/>
    <w:rsid w:val="002A4C69"/>
    <w:rsid w:val="002B1424"/>
    <w:rsid w:val="002B1D45"/>
    <w:rsid w:val="002B1F18"/>
    <w:rsid w:val="002B36D2"/>
    <w:rsid w:val="002B52DF"/>
    <w:rsid w:val="002C213B"/>
    <w:rsid w:val="002C22C5"/>
    <w:rsid w:val="002C263C"/>
    <w:rsid w:val="002C4C90"/>
    <w:rsid w:val="002C4C99"/>
    <w:rsid w:val="002C4E1D"/>
    <w:rsid w:val="002C5D86"/>
    <w:rsid w:val="002D15E2"/>
    <w:rsid w:val="002D170C"/>
    <w:rsid w:val="002D2BDB"/>
    <w:rsid w:val="002D3A76"/>
    <w:rsid w:val="002D3B22"/>
    <w:rsid w:val="002D481E"/>
    <w:rsid w:val="002D4D18"/>
    <w:rsid w:val="002D4EF4"/>
    <w:rsid w:val="002D543A"/>
    <w:rsid w:val="002E3ABE"/>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2D10"/>
    <w:rsid w:val="003346A4"/>
    <w:rsid w:val="00334DB1"/>
    <w:rsid w:val="00336ACF"/>
    <w:rsid w:val="00340539"/>
    <w:rsid w:val="0034088B"/>
    <w:rsid w:val="00341410"/>
    <w:rsid w:val="00341854"/>
    <w:rsid w:val="003455B0"/>
    <w:rsid w:val="00353AD2"/>
    <w:rsid w:val="00356206"/>
    <w:rsid w:val="00356686"/>
    <w:rsid w:val="00357C92"/>
    <w:rsid w:val="003602F6"/>
    <w:rsid w:val="00360A0C"/>
    <w:rsid w:val="00363395"/>
    <w:rsid w:val="00363EBD"/>
    <w:rsid w:val="00366276"/>
    <w:rsid w:val="00367919"/>
    <w:rsid w:val="0037376B"/>
    <w:rsid w:val="00374091"/>
    <w:rsid w:val="003744AE"/>
    <w:rsid w:val="00375F64"/>
    <w:rsid w:val="00381DF6"/>
    <w:rsid w:val="00384670"/>
    <w:rsid w:val="00384B00"/>
    <w:rsid w:val="00384BB8"/>
    <w:rsid w:val="0038566A"/>
    <w:rsid w:val="0038660B"/>
    <w:rsid w:val="0038776A"/>
    <w:rsid w:val="00387AB5"/>
    <w:rsid w:val="00387BF4"/>
    <w:rsid w:val="00391CAF"/>
    <w:rsid w:val="0039363F"/>
    <w:rsid w:val="0039591B"/>
    <w:rsid w:val="0039605E"/>
    <w:rsid w:val="00397341"/>
    <w:rsid w:val="003A08D2"/>
    <w:rsid w:val="003A1AF9"/>
    <w:rsid w:val="003A1B53"/>
    <w:rsid w:val="003A2B88"/>
    <w:rsid w:val="003A338C"/>
    <w:rsid w:val="003A53E1"/>
    <w:rsid w:val="003A74EA"/>
    <w:rsid w:val="003B3790"/>
    <w:rsid w:val="003B6280"/>
    <w:rsid w:val="003B6A56"/>
    <w:rsid w:val="003B70A7"/>
    <w:rsid w:val="003B7656"/>
    <w:rsid w:val="003C0C4B"/>
    <w:rsid w:val="003C0E04"/>
    <w:rsid w:val="003C6393"/>
    <w:rsid w:val="003D14F2"/>
    <w:rsid w:val="003D152A"/>
    <w:rsid w:val="003D1D6C"/>
    <w:rsid w:val="003E1385"/>
    <w:rsid w:val="003E180A"/>
    <w:rsid w:val="003E1AA5"/>
    <w:rsid w:val="003E36D7"/>
    <w:rsid w:val="003E4068"/>
    <w:rsid w:val="003E7A59"/>
    <w:rsid w:val="003F0A17"/>
    <w:rsid w:val="003F2F01"/>
    <w:rsid w:val="003F36BF"/>
    <w:rsid w:val="003F5FEC"/>
    <w:rsid w:val="003F6C56"/>
    <w:rsid w:val="003F72A0"/>
    <w:rsid w:val="003F7C27"/>
    <w:rsid w:val="0040188E"/>
    <w:rsid w:val="00402A00"/>
    <w:rsid w:val="00403B88"/>
    <w:rsid w:val="00403C11"/>
    <w:rsid w:val="004041FD"/>
    <w:rsid w:val="00404493"/>
    <w:rsid w:val="00405346"/>
    <w:rsid w:val="00406716"/>
    <w:rsid w:val="00411745"/>
    <w:rsid w:val="00412207"/>
    <w:rsid w:val="0041248F"/>
    <w:rsid w:val="0041768B"/>
    <w:rsid w:val="00422A05"/>
    <w:rsid w:val="004231B2"/>
    <w:rsid w:val="00423664"/>
    <w:rsid w:val="004259C2"/>
    <w:rsid w:val="0042733D"/>
    <w:rsid w:val="00431A63"/>
    <w:rsid w:val="00431DE8"/>
    <w:rsid w:val="00434247"/>
    <w:rsid w:val="00435C56"/>
    <w:rsid w:val="00436107"/>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3A69"/>
    <w:rsid w:val="004764C7"/>
    <w:rsid w:val="0047767A"/>
    <w:rsid w:val="00477AAF"/>
    <w:rsid w:val="00480E0A"/>
    <w:rsid w:val="00483D52"/>
    <w:rsid w:val="00485D02"/>
    <w:rsid w:val="00485D9D"/>
    <w:rsid w:val="00490341"/>
    <w:rsid w:val="004903C4"/>
    <w:rsid w:val="00490A9A"/>
    <w:rsid w:val="00492C92"/>
    <w:rsid w:val="004933EC"/>
    <w:rsid w:val="00493ADA"/>
    <w:rsid w:val="004964B1"/>
    <w:rsid w:val="00496685"/>
    <w:rsid w:val="004978DB"/>
    <w:rsid w:val="004A123E"/>
    <w:rsid w:val="004A25AE"/>
    <w:rsid w:val="004A4C04"/>
    <w:rsid w:val="004A7473"/>
    <w:rsid w:val="004A75FA"/>
    <w:rsid w:val="004B32E3"/>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796"/>
    <w:rsid w:val="0051080A"/>
    <w:rsid w:val="0051397A"/>
    <w:rsid w:val="00513C7B"/>
    <w:rsid w:val="00515B33"/>
    <w:rsid w:val="00516C4B"/>
    <w:rsid w:val="00517C97"/>
    <w:rsid w:val="00520070"/>
    <w:rsid w:val="005217D6"/>
    <w:rsid w:val="00522299"/>
    <w:rsid w:val="005236C8"/>
    <w:rsid w:val="005239EF"/>
    <w:rsid w:val="00524580"/>
    <w:rsid w:val="0052697E"/>
    <w:rsid w:val="0053142F"/>
    <w:rsid w:val="00532BF0"/>
    <w:rsid w:val="00535615"/>
    <w:rsid w:val="00535DF6"/>
    <w:rsid w:val="00536E38"/>
    <w:rsid w:val="005371FA"/>
    <w:rsid w:val="0054012D"/>
    <w:rsid w:val="00545504"/>
    <w:rsid w:val="00550CEB"/>
    <w:rsid w:val="005512BC"/>
    <w:rsid w:val="005528A6"/>
    <w:rsid w:val="005530C0"/>
    <w:rsid w:val="00553B64"/>
    <w:rsid w:val="00553BD2"/>
    <w:rsid w:val="005544CE"/>
    <w:rsid w:val="00555E35"/>
    <w:rsid w:val="00556099"/>
    <w:rsid w:val="0056151D"/>
    <w:rsid w:val="005617AE"/>
    <w:rsid w:val="00564268"/>
    <w:rsid w:val="00565710"/>
    <w:rsid w:val="00566A31"/>
    <w:rsid w:val="00567753"/>
    <w:rsid w:val="005726A5"/>
    <w:rsid w:val="005740E2"/>
    <w:rsid w:val="005756FE"/>
    <w:rsid w:val="0057620A"/>
    <w:rsid w:val="00576B77"/>
    <w:rsid w:val="00580473"/>
    <w:rsid w:val="005830FD"/>
    <w:rsid w:val="00585A58"/>
    <w:rsid w:val="00586701"/>
    <w:rsid w:val="00587716"/>
    <w:rsid w:val="0059197A"/>
    <w:rsid w:val="0059201D"/>
    <w:rsid w:val="0059219F"/>
    <w:rsid w:val="00592F04"/>
    <w:rsid w:val="00595E32"/>
    <w:rsid w:val="00595FDD"/>
    <w:rsid w:val="0059639F"/>
    <w:rsid w:val="00596A01"/>
    <w:rsid w:val="00596DB2"/>
    <w:rsid w:val="005A27BA"/>
    <w:rsid w:val="005A31F1"/>
    <w:rsid w:val="005A3A98"/>
    <w:rsid w:val="005A446F"/>
    <w:rsid w:val="005A48CB"/>
    <w:rsid w:val="005A6305"/>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081"/>
    <w:rsid w:val="005D644A"/>
    <w:rsid w:val="005E02A7"/>
    <w:rsid w:val="005E0AD2"/>
    <w:rsid w:val="005E169D"/>
    <w:rsid w:val="005E19D8"/>
    <w:rsid w:val="005E2C48"/>
    <w:rsid w:val="005E60E3"/>
    <w:rsid w:val="005E6B59"/>
    <w:rsid w:val="005E77DC"/>
    <w:rsid w:val="005E7BE9"/>
    <w:rsid w:val="005F09CB"/>
    <w:rsid w:val="005F0C5A"/>
    <w:rsid w:val="005F1497"/>
    <w:rsid w:val="005F264E"/>
    <w:rsid w:val="005F3965"/>
    <w:rsid w:val="005F4E03"/>
    <w:rsid w:val="005F4F7A"/>
    <w:rsid w:val="005F51D2"/>
    <w:rsid w:val="005F53BE"/>
    <w:rsid w:val="005F5B01"/>
    <w:rsid w:val="005F7E4D"/>
    <w:rsid w:val="006017D7"/>
    <w:rsid w:val="0060359F"/>
    <w:rsid w:val="00607377"/>
    <w:rsid w:val="00607E30"/>
    <w:rsid w:val="0061015F"/>
    <w:rsid w:val="006102D3"/>
    <w:rsid w:val="006105A0"/>
    <w:rsid w:val="00610FF8"/>
    <w:rsid w:val="00612E0D"/>
    <w:rsid w:val="00612E40"/>
    <w:rsid w:val="00615565"/>
    <w:rsid w:val="006159E0"/>
    <w:rsid w:val="0061677C"/>
    <w:rsid w:val="0061684C"/>
    <w:rsid w:val="00621AF5"/>
    <w:rsid w:val="006228F4"/>
    <w:rsid w:val="006238FF"/>
    <w:rsid w:val="00630701"/>
    <w:rsid w:val="00633065"/>
    <w:rsid w:val="006365E3"/>
    <w:rsid w:val="00637ABE"/>
    <w:rsid w:val="00641C47"/>
    <w:rsid w:val="00642894"/>
    <w:rsid w:val="0064292A"/>
    <w:rsid w:val="006470FE"/>
    <w:rsid w:val="00650A71"/>
    <w:rsid w:val="00652846"/>
    <w:rsid w:val="00652F9E"/>
    <w:rsid w:val="00655557"/>
    <w:rsid w:val="006570BC"/>
    <w:rsid w:val="006617D8"/>
    <w:rsid w:val="00661DD9"/>
    <w:rsid w:val="00662506"/>
    <w:rsid w:val="0066299F"/>
    <w:rsid w:val="00662F0A"/>
    <w:rsid w:val="006639AD"/>
    <w:rsid w:val="006651F5"/>
    <w:rsid w:val="00665E8B"/>
    <w:rsid w:val="00666392"/>
    <w:rsid w:val="006667CC"/>
    <w:rsid w:val="006669B8"/>
    <w:rsid w:val="0066794B"/>
    <w:rsid w:val="00670549"/>
    <w:rsid w:val="00672B9B"/>
    <w:rsid w:val="00673F48"/>
    <w:rsid w:val="00676CA9"/>
    <w:rsid w:val="0067706E"/>
    <w:rsid w:val="006820A0"/>
    <w:rsid w:val="0068357B"/>
    <w:rsid w:val="00683938"/>
    <w:rsid w:val="00684873"/>
    <w:rsid w:val="00685FF0"/>
    <w:rsid w:val="00686CEE"/>
    <w:rsid w:val="0068771C"/>
    <w:rsid w:val="00687DD6"/>
    <w:rsid w:val="00690DFA"/>
    <w:rsid w:val="00691324"/>
    <w:rsid w:val="00692AD3"/>
    <w:rsid w:val="006937DA"/>
    <w:rsid w:val="006954A8"/>
    <w:rsid w:val="006956B2"/>
    <w:rsid w:val="006964B5"/>
    <w:rsid w:val="006A07CC"/>
    <w:rsid w:val="006A105D"/>
    <w:rsid w:val="006A6EC4"/>
    <w:rsid w:val="006B2768"/>
    <w:rsid w:val="006C2E8A"/>
    <w:rsid w:val="006C323B"/>
    <w:rsid w:val="006C364B"/>
    <w:rsid w:val="006C376D"/>
    <w:rsid w:val="006C7292"/>
    <w:rsid w:val="006D13DF"/>
    <w:rsid w:val="006D3B00"/>
    <w:rsid w:val="006D7DB2"/>
    <w:rsid w:val="006E011E"/>
    <w:rsid w:val="006E3070"/>
    <w:rsid w:val="006E6D50"/>
    <w:rsid w:val="006E72CB"/>
    <w:rsid w:val="006F148A"/>
    <w:rsid w:val="006F3A4D"/>
    <w:rsid w:val="006F3BE8"/>
    <w:rsid w:val="006F4E41"/>
    <w:rsid w:val="00701675"/>
    <w:rsid w:val="00701F55"/>
    <w:rsid w:val="0070248E"/>
    <w:rsid w:val="00702788"/>
    <w:rsid w:val="007028F4"/>
    <w:rsid w:val="007035E0"/>
    <w:rsid w:val="00705419"/>
    <w:rsid w:val="00706EA0"/>
    <w:rsid w:val="0071409A"/>
    <w:rsid w:val="00714F70"/>
    <w:rsid w:val="007154AA"/>
    <w:rsid w:val="00721484"/>
    <w:rsid w:val="007271CB"/>
    <w:rsid w:val="00734222"/>
    <w:rsid w:val="00734354"/>
    <w:rsid w:val="00735FE0"/>
    <w:rsid w:val="00736E45"/>
    <w:rsid w:val="00737C26"/>
    <w:rsid w:val="00740AC8"/>
    <w:rsid w:val="00741FC0"/>
    <w:rsid w:val="00743CE0"/>
    <w:rsid w:val="007457D7"/>
    <w:rsid w:val="00745A19"/>
    <w:rsid w:val="00745F27"/>
    <w:rsid w:val="007467E4"/>
    <w:rsid w:val="0074682B"/>
    <w:rsid w:val="00746ACF"/>
    <w:rsid w:val="0075215A"/>
    <w:rsid w:val="00752756"/>
    <w:rsid w:val="00752A91"/>
    <w:rsid w:val="00752D09"/>
    <w:rsid w:val="0075420D"/>
    <w:rsid w:val="007548FB"/>
    <w:rsid w:val="0075505A"/>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872F6"/>
    <w:rsid w:val="00790D4A"/>
    <w:rsid w:val="00791658"/>
    <w:rsid w:val="007942D7"/>
    <w:rsid w:val="00794578"/>
    <w:rsid w:val="007951CF"/>
    <w:rsid w:val="00796DE6"/>
    <w:rsid w:val="00796EEE"/>
    <w:rsid w:val="007972AD"/>
    <w:rsid w:val="0079784E"/>
    <w:rsid w:val="007A1CC1"/>
    <w:rsid w:val="007A38A3"/>
    <w:rsid w:val="007A424D"/>
    <w:rsid w:val="007A5F84"/>
    <w:rsid w:val="007A618F"/>
    <w:rsid w:val="007B1473"/>
    <w:rsid w:val="007B3FD1"/>
    <w:rsid w:val="007B5AE9"/>
    <w:rsid w:val="007B6943"/>
    <w:rsid w:val="007B7B01"/>
    <w:rsid w:val="007B7FB8"/>
    <w:rsid w:val="007C074A"/>
    <w:rsid w:val="007C0E68"/>
    <w:rsid w:val="007C1C19"/>
    <w:rsid w:val="007C1E62"/>
    <w:rsid w:val="007C26C6"/>
    <w:rsid w:val="007C4DF8"/>
    <w:rsid w:val="007C4FEB"/>
    <w:rsid w:val="007C5383"/>
    <w:rsid w:val="007C6863"/>
    <w:rsid w:val="007C7DCC"/>
    <w:rsid w:val="007D16F2"/>
    <w:rsid w:val="007D1BC5"/>
    <w:rsid w:val="007D21B3"/>
    <w:rsid w:val="007D2BF7"/>
    <w:rsid w:val="007D326F"/>
    <w:rsid w:val="007D47BE"/>
    <w:rsid w:val="007D4FDA"/>
    <w:rsid w:val="007D5326"/>
    <w:rsid w:val="007D59AE"/>
    <w:rsid w:val="007D6179"/>
    <w:rsid w:val="007D6D32"/>
    <w:rsid w:val="007D6E3F"/>
    <w:rsid w:val="007D7351"/>
    <w:rsid w:val="007E3A22"/>
    <w:rsid w:val="007E4FD6"/>
    <w:rsid w:val="007E7DD1"/>
    <w:rsid w:val="007E7E28"/>
    <w:rsid w:val="007F05DA"/>
    <w:rsid w:val="007F0D17"/>
    <w:rsid w:val="007F199E"/>
    <w:rsid w:val="007F19FD"/>
    <w:rsid w:val="007F3AB5"/>
    <w:rsid w:val="007F7062"/>
    <w:rsid w:val="00800147"/>
    <w:rsid w:val="0080064A"/>
    <w:rsid w:val="008014BC"/>
    <w:rsid w:val="008016FB"/>
    <w:rsid w:val="008021B4"/>
    <w:rsid w:val="00802ADE"/>
    <w:rsid w:val="00803340"/>
    <w:rsid w:val="00804F63"/>
    <w:rsid w:val="00805FB2"/>
    <w:rsid w:val="008071DE"/>
    <w:rsid w:val="008075F2"/>
    <w:rsid w:val="00807725"/>
    <w:rsid w:val="008128DD"/>
    <w:rsid w:val="00813959"/>
    <w:rsid w:val="008146C8"/>
    <w:rsid w:val="00816556"/>
    <w:rsid w:val="00820C5D"/>
    <w:rsid w:val="00820EE7"/>
    <w:rsid w:val="00827E46"/>
    <w:rsid w:val="008307E7"/>
    <w:rsid w:val="00830801"/>
    <w:rsid w:val="00831051"/>
    <w:rsid w:val="0083168F"/>
    <w:rsid w:val="00841E24"/>
    <w:rsid w:val="00844885"/>
    <w:rsid w:val="00844CCC"/>
    <w:rsid w:val="008453D3"/>
    <w:rsid w:val="00846DD5"/>
    <w:rsid w:val="0085066B"/>
    <w:rsid w:val="00854779"/>
    <w:rsid w:val="0085498A"/>
    <w:rsid w:val="00854EC6"/>
    <w:rsid w:val="00855A5A"/>
    <w:rsid w:val="00857A7F"/>
    <w:rsid w:val="00860754"/>
    <w:rsid w:val="00861509"/>
    <w:rsid w:val="008647EB"/>
    <w:rsid w:val="00864EF0"/>
    <w:rsid w:val="00864EF1"/>
    <w:rsid w:val="00865E02"/>
    <w:rsid w:val="00866100"/>
    <w:rsid w:val="00871E82"/>
    <w:rsid w:val="00873122"/>
    <w:rsid w:val="0088061E"/>
    <w:rsid w:val="008814ED"/>
    <w:rsid w:val="00882F6F"/>
    <w:rsid w:val="008848A4"/>
    <w:rsid w:val="00885092"/>
    <w:rsid w:val="00885CD1"/>
    <w:rsid w:val="00885EE3"/>
    <w:rsid w:val="00886966"/>
    <w:rsid w:val="00887B3D"/>
    <w:rsid w:val="00890552"/>
    <w:rsid w:val="00890C04"/>
    <w:rsid w:val="008915EB"/>
    <w:rsid w:val="00893EAC"/>
    <w:rsid w:val="008947F4"/>
    <w:rsid w:val="008968A8"/>
    <w:rsid w:val="00896E95"/>
    <w:rsid w:val="00897768"/>
    <w:rsid w:val="008A0CD3"/>
    <w:rsid w:val="008A1A0A"/>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4AA"/>
    <w:rsid w:val="008E1F6D"/>
    <w:rsid w:val="008E27CA"/>
    <w:rsid w:val="008E4957"/>
    <w:rsid w:val="008E5F5E"/>
    <w:rsid w:val="008E684E"/>
    <w:rsid w:val="008F1B72"/>
    <w:rsid w:val="008F36DB"/>
    <w:rsid w:val="008F5750"/>
    <w:rsid w:val="008F5A9F"/>
    <w:rsid w:val="00902872"/>
    <w:rsid w:val="00902AA5"/>
    <w:rsid w:val="00903852"/>
    <w:rsid w:val="00906028"/>
    <w:rsid w:val="00906C49"/>
    <w:rsid w:val="00911CA1"/>
    <w:rsid w:val="00911FFD"/>
    <w:rsid w:val="00912358"/>
    <w:rsid w:val="009129C2"/>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284"/>
    <w:rsid w:val="009467A5"/>
    <w:rsid w:val="00953708"/>
    <w:rsid w:val="00953B7B"/>
    <w:rsid w:val="00960F8F"/>
    <w:rsid w:val="009624EE"/>
    <w:rsid w:val="00965618"/>
    <w:rsid w:val="0096762D"/>
    <w:rsid w:val="009706BE"/>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977E0"/>
    <w:rsid w:val="009A0168"/>
    <w:rsid w:val="009A2DA6"/>
    <w:rsid w:val="009A498F"/>
    <w:rsid w:val="009A6563"/>
    <w:rsid w:val="009A6AA5"/>
    <w:rsid w:val="009A6ADB"/>
    <w:rsid w:val="009A7E13"/>
    <w:rsid w:val="009B0C68"/>
    <w:rsid w:val="009B0D86"/>
    <w:rsid w:val="009B2BE7"/>
    <w:rsid w:val="009B303C"/>
    <w:rsid w:val="009B3451"/>
    <w:rsid w:val="009B380E"/>
    <w:rsid w:val="009B4782"/>
    <w:rsid w:val="009B61E3"/>
    <w:rsid w:val="009B76BE"/>
    <w:rsid w:val="009C1443"/>
    <w:rsid w:val="009C1544"/>
    <w:rsid w:val="009C2C41"/>
    <w:rsid w:val="009C690A"/>
    <w:rsid w:val="009D1DF2"/>
    <w:rsid w:val="009D63CE"/>
    <w:rsid w:val="009D7252"/>
    <w:rsid w:val="009D754C"/>
    <w:rsid w:val="009E2D99"/>
    <w:rsid w:val="009E324E"/>
    <w:rsid w:val="009E3A90"/>
    <w:rsid w:val="009E4865"/>
    <w:rsid w:val="009E53B8"/>
    <w:rsid w:val="009E62A8"/>
    <w:rsid w:val="009E68FE"/>
    <w:rsid w:val="009F3C45"/>
    <w:rsid w:val="009F4CE6"/>
    <w:rsid w:val="009F5173"/>
    <w:rsid w:val="009F5A3B"/>
    <w:rsid w:val="009F6C74"/>
    <w:rsid w:val="00A0253A"/>
    <w:rsid w:val="00A05602"/>
    <w:rsid w:val="00A06F8B"/>
    <w:rsid w:val="00A0741C"/>
    <w:rsid w:val="00A1058B"/>
    <w:rsid w:val="00A12B9D"/>
    <w:rsid w:val="00A1461F"/>
    <w:rsid w:val="00A1685B"/>
    <w:rsid w:val="00A20D13"/>
    <w:rsid w:val="00A22F2C"/>
    <w:rsid w:val="00A25538"/>
    <w:rsid w:val="00A265AF"/>
    <w:rsid w:val="00A26D1E"/>
    <w:rsid w:val="00A276E7"/>
    <w:rsid w:val="00A307DF"/>
    <w:rsid w:val="00A30819"/>
    <w:rsid w:val="00A31228"/>
    <w:rsid w:val="00A3140C"/>
    <w:rsid w:val="00A32388"/>
    <w:rsid w:val="00A3393F"/>
    <w:rsid w:val="00A357F1"/>
    <w:rsid w:val="00A363CD"/>
    <w:rsid w:val="00A363EE"/>
    <w:rsid w:val="00A36D79"/>
    <w:rsid w:val="00A36FC0"/>
    <w:rsid w:val="00A37740"/>
    <w:rsid w:val="00A42644"/>
    <w:rsid w:val="00A44867"/>
    <w:rsid w:val="00A462EA"/>
    <w:rsid w:val="00A47908"/>
    <w:rsid w:val="00A50380"/>
    <w:rsid w:val="00A51145"/>
    <w:rsid w:val="00A519D3"/>
    <w:rsid w:val="00A5254D"/>
    <w:rsid w:val="00A52F5B"/>
    <w:rsid w:val="00A55315"/>
    <w:rsid w:val="00A55E3F"/>
    <w:rsid w:val="00A603FA"/>
    <w:rsid w:val="00A62A8C"/>
    <w:rsid w:val="00A63C3E"/>
    <w:rsid w:val="00A66A0E"/>
    <w:rsid w:val="00A67476"/>
    <w:rsid w:val="00A67E01"/>
    <w:rsid w:val="00A702F0"/>
    <w:rsid w:val="00A70979"/>
    <w:rsid w:val="00A714E3"/>
    <w:rsid w:val="00A747AD"/>
    <w:rsid w:val="00A75CE5"/>
    <w:rsid w:val="00A76E69"/>
    <w:rsid w:val="00A80E77"/>
    <w:rsid w:val="00A8228B"/>
    <w:rsid w:val="00A82BFB"/>
    <w:rsid w:val="00A851D8"/>
    <w:rsid w:val="00A860DA"/>
    <w:rsid w:val="00A86A03"/>
    <w:rsid w:val="00A933E7"/>
    <w:rsid w:val="00A9549A"/>
    <w:rsid w:val="00A95704"/>
    <w:rsid w:val="00A96D39"/>
    <w:rsid w:val="00A96F2C"/>
    <w:rsid w:val="00A97939"/>
    <w:rsid w:val="00AA09BD"/>
    <w:rsid w:val="00AA1C47"/>
    <w:rsid w:val="00AA1D87"/>
    <w:rsid w:val="00AA1EF3"/>
    <w:rsid w:val="00AA212D"/>
    <w:rsid w:val="00AA4054"/>
    <w:rsid w:val="00AA4397"/>
    <w:rsid w:val="00AA4B70"/>
    <w:rsid w:val="00AA4BF1"/>
    <w:rsid w:val="00AB2166"/>
    <w:rsid w:val="00AB5C83"/>
    <w:rsid w:val="00AC101D"/>
    <w:rsid w:val="00AC1369"/>
    <w:rsid w:val="00AC3AFD"/>
    <w:rsid w:val="00AC4F67"/>
    <w:rsid w:val="00AC5BD9"/>
    <w:rsid w:val="00AC7361"/>
    <w:rsid w:val="00AD1E9F"/>
    <w:rsid w:val="00AD27C1"/>
    <w:rsid w:val="00AD6955"/>
    <w:rsid w:val="00AE1CB0"/>
    <w:rsid w:val="00AE4383"/>
    <w:rsid w:val="00AE4F84"/>
    <w:rsid w:val="00AE5548"/>
    <w:rsid w:val="00AE597A"/>
    <w:rsid w:val="00AF1DDD"/>
    <w:rsid w:val="00AF3657"/>
    <w:rsid w:val="00AF746F"/>
    <w:rsid w:val="00B01365"/>
    <w:rsid w:val="00B033EE"/>
    <w:rsid w:val="00B1063A"/>
    <w:rsid w:val="00B12542"/>
    <w:rsid w:val="00B12FA7"/>
    <w:rsid w:val="00B147BB"/>
    <w:rsid w:val="00B152A8"/>
    <w:rsid w:val="00B17141"/>
    <w:rsid w:val="00B172A5"/>
    <w:rsid w:val="00B217A2"/>
    <w:rsid w:val="00B243C6"/>
    <w:rsid w:val="00B2516E"/>
    <w:rsid w:val="00B26DE3"/>
    <w:rsid w:val="00B34138"/>
    <w:rsid w:val="00B34408"/>
    <w:rsid w:val="00B34890"/>
    <w:rsid w:val="00B35411"/>
    <w:rsid w:val="00B35A61"/>
    <w:rsid w:val="00B362A5"/>
    <w:rsid w:val="00B37139"/>
    <w:rsid w:val="00B40343"/>
    <w:rsid w:val="00B435B5"/>
    <w:rsid w:val="00B43A8C"/>
    <w:rsid w:val="00B44DC8"/>
    <w:rsid w:val="00B45D25"/>
    <w:rsid w:val="00B4694F"/>
    <w:rsid w:val="00B510F6"/>
    <w:rsid w:val="00B52619"/>
    <w:rsid w:val="00B564B1"/>
    <w:rsid w:val="00B564B6"/>
    <w:rsid w:val="00B5725E"/>
    <w:rsid w:val="00B5746B"/>
    <w:rsid w:val="00B60332"/>
    <w:rsid w:val="00B60618"/>
    <w:rsid w:val="00B6284F"/>
    <w:rsid w:val="00B651B9"/>
    <w:rsid w:val="00B66B8D"/>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19A9"/>
    <w:rsid w:val="00BB549A"/>
    <w:rsid w:val="00BC010F"/>
    <w:rsid w:val="00BC1167"/>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579B"/>
    <w:rsid w:val="00BF63C1"/>
    <w:rsid w:val="00BF68C9"/>
    <w:rsid w:val="00C04712"/>
    <w:rsid w:val="00C04D91"/>
    <w:rsid w:val="00C0772B"/>
    <w:rsid w:val="00C103C4"/>
    <w:rsid w:val="00C10544"/>
    <w:rsid w:val="00C121C7"/>
    <w:rsid w:val="00C124EC"/>
    <w:rsid w:val="00C12530"/>
    <w:rsid w:val="00C13D24"/>
    <w:rsid w:val="00C2125E"/>
    <w:rsid w:val="00C21A50"/>
    <w:rsid w:val="00C22363"/>
    <w:rsid w:val="00C22C9C"/>
    <w:rsid w:val="00C22F7D"/>
    <w:rsid w:val="00C23AFC"/>
    <w:rsid w:val="00C23DA4"/>
    <w:rsid w:val="00C24231"/>
    <w:rsid w:val="00C25FEB"/>
    <w:rsid w:val="00C305E9"/>
    <w:rsid w:val="00C31533"/>
    <w:rsid w:val="00C31FB4"/>
    <w:rsid w:val="00C320C7"/>
    <w:rsid w:val="00C34BFD"/>
    <w:rsid w:val="00C36407"/>
    <w:rsid w:val="00C37576"/>
    <w:rsid w:val="00C417D0"/>
    <w:rsid w:val="00C426C8"/>
    <w:rsid w:val="00C42950"/>
    <w:rsid w:val="00C429AD"/>
    <w:rsid w:val="00C442AE"/>
    <w:rsid w:val="00C44E0C"/>
    <w:rsid w:val="00C4658E"/>
    <w:rsid w:val="00C472A2"/>
    <w:rsid w:val="00C51BC5"/>
    <w:rsid w:val="00C51CCC"/>
    <w:rsid w:val="00C541E5"/>
    <w:rsid w:val="00C55671"/>
    <w:rsid w:val="00C603C3"/>
    <w:rsid w:val="00C61F66"/>
    <w:rsid w:val="00C64532"/>
    <w:rsid w:val="00C70BB4"/>
    <w:rsid w:val="00C7196E"/>
    <w:rsid w:val="00C7313F"/>
    <w:rsid w:val="00C739E0"/>
    <w:rsid w:val="00C73E7A"/>
    <w:rsid w:val="00C76D48"/>
    <w:rsid w:val="00C81AD0"/>
    <w:rsid w:val="00C96690"/>
    <w:rsid w:val="00CA0C45"/>
    <w:rsid w:val="00CA3F65"/>
    <w:rsid w:val="00CA5AAF"/>
    <w:rsid w:val="00CA5C56"/>
    <w:rsid w:val="00CB033B"/>
    <w:rsid w:val="00CB13E6"/>
    <w:rsid w:val="00CB3671"/>
    <w:rsid w:val="00CB5939"/>
    <w:rsid w:val="00CB6492"/>
    <w:rsid w:val="00CC02D0"/>
    <w:rsid w:val="00CC1E03"/>
    <w:rsid w:val="00CC1F8C"/>
    <w:rsid w:val="00CC22BE"/>
    <w:rsid w:val="00CC2E19"/>
    <w:rsid w:val="00CC3603"/>
    <w:rsid w:val="00CC45F3"/>
    <w:rsid w:val="00CC6379"/>
    <w:rsid w:val="00CC786F"/>
    <w:rsid w:val="00CD13A9"/>
    <w:rsid w:val="00CD16E5"/>
    <w:rsid w:val="00CD34FC"/>
    <w:rsid w:val="00CD56F1"/>
    <w:rsid w:val="00CD7193"/>
    <w:rsid w:val="00CE13F6"/>
    <w:rsid w:val="00CE16ED"/>
    <w:rsid w:val="00CE269E"/>
    <w:rsid w:val="00CE2ED5"/>
    <w:rsid w:val="00CE6EF2"/>
    <w:rsid w:val="00CE7B70"/>
    <w:rsid w:val="00CF0D77"/>
    <w:rsid w:val="00CF24C6"/>
    <w:rsid w:val="00D005C3"/>
    <w:rsid w:val="00D01DC2"/>
    <w:rsid w:val="00D03766"/>
    <w:rsid w:val="00D07F00"/>
    <w:rsid w:val="00D11758"/>
    <w:rsid w:val="00D11EF3"/>
    <w:rsid w:val="00D12BA5"/>
    <w:rsid w:val="00D14840"/>
    <w:rsid w:val="00D14F1D"/>
    <w:rsid w:val="00D207FC"/>
    <w:rsid w:val="00D21D49"/>
    <w:rsid w:val="00D2238A"/>
    <w:rsid w:val="00D2252F"/>
    <w:rsid w:val="00D22841"/>
    <w:rsid w:val="00D2284D"/>
    <w:rsid w:val="00D2442A"/>
    <w:rsid w:val="00D26D59"/>
    <w:rsid w:val="00D30C72"/>
    <w:rsid w:val="00D3180F"/>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263"/>
    <w:rsid w:val="00D66AF2"/>
    <w:rsid w:val="00D67195"/>
    <w:rsid w:val="00D70C6A"/>
    <w:rsid w:val="00D728E4"/>
    <w:rsid w:val="00D7340F"/>
    <w:rsid w:val="00D75428"/>
    <w:rsid w:val="00D75599"/>
    <w:rsid w:val="00D80559"/>
    <w:rsid w:val="00D824E7"/>
    <w:rsid w:val="00D82734"/>
    <w:rsid w:val="00D8371B"/>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6AED"/>
    <w:rsid w:val="00DA7715"/>
    <w:rsid w:val="00DA790F"/>
    <w:rsid w:val="00DB052A"/>
    <w:rsid w:val="00DB09C5"/>
    <w:rsid w:val="00DB2527"/>
    <w:rsid w:val="00DB2B0A"/>
    <w:rsid w:val="00DB2C20"/>
    <w:rsid w:val="00DB2EEA"/>
    <w:rsid w:val="00DB60CA"/>
    <w:rsid w:val="00DB61F8"/>
    <w:rsid w:val="00DB7A21"/>
    <w:rsid w:val="00DC46F6"/>
    <w:rsid w:val="00DC49CC"/>
    <w:rsid w:val="00DC60C5"/>
    <w:rsid w:val="00DD024A"/>
    <w:rsid w:val="00DD14FB"/>
    <w:rsid w:val="00DD413B"/>
    <w:rsid w:val="00DD450D"/>
    <w:rsid w:val="00DE2E28"/>
    <w:rsid w:val="00DE430A"/>
    <w:rsid w:val="00DE447F"/>
    <w:rsid w:val="00DE4C2C"/>
    <w:rsid w:val="00DE544C"/>
    <w:rsid w:val="00DE5974"/>
    <w:rsid w:val="00DE623E"/>
    <w:rsid w:val="00DF0679"/>
    <w:rsid w:val="00DF17B9"/>
    <w:rsid w:val="00DF24CE"/>
    <w:rsid w:val="00DF28E3"/>
    <w:rsid w:val="00DF4741"/>
    <w:rsid w:val="00DF5170"/>
    <w:rsid w:val="00DF60AA"/>
    <w:rsid w:val="00E01327"/>
    <w:rsid w:val="00E05101"/>
    <w:rsid w:val="00E065E4"/>
    <w:rsid w:val="00E10C21"/>
    <w:rsid w:val="00E11CA2"/>
    <w:rsid w:val="00E14280"/>
    <w:rsid w:val="00E1487D"/>
    <w:rsid w:val="00E15ED5"/>
    <w:rsid w:val="00E20C21"/>
    <w:rsid w:val="00E2270D"/>
    <w:rsid w:val="00E22B2A"/>
    <w:rsid w:val="00E22DA1"/>
    <w:rsid w:val="00E23F6B"/>
    <w:rsid w:val="00E241C9"/>
    <w:rsid w:val="00E24DE5"/>
    <w:rsid w:val="00E30058"/>
    <w:rsid w:val="00E35B5D"/>
    <w:rsid w:val="00E36398"/>
    <w:rsid w:val="00E363C9"/>
    <w:rsid w:val="00E41E0C"/>
    <w:rsid w:val="00E41EC3"/>
    <w:rsid w:val="00E44478"/>
    <w:rsid w:val="00E46C07"/>
    <w:rsid w:val="00E47B16"/>
    <w:rsid w:val="00E50247"/>
    <w:rsid w:val="00E50E56"/>
    <w:rsid w:val="00E5280E"/>
    <w:rsid w:val="00E52E23"/>
    <w:rsid w:val="00E558F3"/>
    <w:rsid w:val="00E560FF"/>
    <w:rsid w:val="00E57B0D"/>
    <w:rsid w:val="00E57EBE"/>
    <w:rsid w:val="00E60E28"/>
    <w:rsid w:val="00E62BAC"/>
    <w:rsid w:val="00E65429"/>
    <w:rsid w:val="00E6661C"/>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6EC"/>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24A"/>
    <w:rsid w:val="00EE349A"/>
    <w:rsid w:val="00EE3C61"/>
    <w:rsid w:val="00EE6338"/>
    <w:rsid w:val="00EE6EF1"/>
    <w:rsid w:val="00EE70E9"/>
    <w:rsid w:val="00EE7133"/>
    <w:rsid w:val="00EE7B18"/>
    <w:rsid w:val="00EF39CA"/>
    <w:rsid w:val="00EF68E8"/>
    <w:rsid w:val="00EF7381"/>
    <w:rsid w:val="00EF7778"/>
    <w:rsid w:val="00EF7C84"/>
    <w:rsid w:val="00F013C0"/>
    <w:rsid w:val="00F06042"/>
    <w:rsid w:val="00F06133"/>
    <w:rsid w:val="00F121A6"/>
    <w:rsid w:val="00F125CC"/>
    <w:rsid w:val="00F13364"/>
    <w:rsid w:val="00F1374C"/>
    <w:rsid w:val="00F16117"/>
    <w:rsid w:val="00F16B75"/>
    <w:rsid w:val="00F24387"/>
    <w:rsid w:val="00F24A55"/>
    <w:rsid w:val="00F26BF3"/>
    <w:rsid w:val="00F26DAF"/>
    <w:rsid w:val="00F27DD3"/>
    <w:rsid w:val="00F30764"/>
    <w:rsid w:val="00F3191C"/>
    <w:rsid w:val="00F31DAC"/>
    <w:rsid w:val="00F34435"/>
    <w:rsid w:val="00F36E4D"/>
    <w:rsid w:val="00F37917"/>
    <w:rsid w:val="00F403F3"/>
    <w:rsid w:val="00F43C47"/>
    <w:rsid w:val="00F446C0"/>
    <w:rsid w:val="00F44EC8"/>
    <w:rsid w:val="00F46C47"/>
    <w:rsid w:val="00F47788"/>
    <w:rsid w:val="00F52807"/>
    <w:rsid w:val="00F54DF7"/>
    <w:rsid w:val="00F552DE"/>
    <w:rsid w:val="00F565FA"/>
    <w:rsid w:val="00F57310"/>
    <w:rsid w:val="00F6037A"/>
    <w:rsid w:val="00F603DB"/>
    <w:rsid w:val="00F60694"/>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3D0D"/>
    <w:rsid w:val="00F9467E"/>
    <w:rsid w:val="00F94F2F"/>
    <w:rsid w:val="00F97507"/>
    <w:rsid w:val="00FA2DAB"/>
    <w:rsid w:val="00FB21E9"/>
    <w:rsid w:val="00FB5783"/>
    <w:rsid w:val="00FC04B0"/>
    <w:rsid w:val="00FC04F1"/>
    <w:rsid w:val="00FC174D"/>
    <w:rsid w:val="00FC2CCA"/>
    <w:rsid w:val="00FC2FC0"/>
    <w:rsid w:val="00FC3A91"/>
    <w:rsid w:val="00FC40D6"/>
    <w:rsid w:val="00FC420F"/>
    <w:rsid w:val="00FC5286"/>
    <w:rsid w:val="00FC5BC1"/>
    <w:rsid w:val="00FD2228"/>
    <w:rsid w:val="00FD51C8"/>
    <w:rsid w:val="00FE0444"/>
    <w:rsid w:val="00FE0C0C"/>
    <w:rsid w:val="00FE336F"/>
    <w:rsid w:val="00FE3B66"/>
    <w:rsid w:val="00FE4BC6"/>
    <w:rsid w:val="00FE5A24"/>
    <w:rsid w:val="00FE6EDC"/>
    <w:rsid w:val="00FF09C5"/>
    <w:rsid w:val="00FF246A"/>
    <w:rsid w:val="00FF3C8A"/>
    <w:rsid w:val="00FF65EE"/>
    <w:rsid w:val="00FF7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466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Revision">
    <w:name w:val="Revision"/>
    <w:hidden/>
    <w:uiPriority w:val="99"/>
    <w:semiHidden/>
    <w:rsid w:val="004A7473"/>
    <w:rPr>
      <w:sz w:val="24"/>
      <w:szCs w:val="24"/>
    </w:rPr>
  </w:style>
  <w:style w:type="character" w:styleId="CommentReference">
    <w:name w:val="annotation reference"/>
    <w:basedOn w:val="DefaultParagraphFont"/>
    <w:rsid w:val="00FF7676"/>
    <w:rPr>
      <w:sz w:val="16"/>
      <w:szCs w:val="16"/>
    </w:rPr>
  </w:style>
  <w:style w:type="paragraph" w:styleId="CommentText">
    <w:name w:val="annotation text"/>
    <w:basedOn w:val="Normal"/>
    <w:link w:val="CommentTextChar"/>
    <w:rsid w:val="00FF7676"/>
    <w:pPr>
      <w:spacing w:line="240" w:lineRule="auto"/>
    </w:pPr>
    <w:rPr>
      <w:sz w:val="20"/>
      <w:szCs w:val="20"/>
    </w:rPr>
  </w:style>
  <w:style w:type="character" w:customStyle="1" w:styleId="CommentTextChar">
    <w:name w:val="Comment Text Char"/>
    <w:basedOn w:val="DefaultParagraphFont"/>
    <w:link w:val="CommentText"/>
    <w:rsid w:val="00FF7676"/>
  </w:style>
  <w:style w:type="paragraph" w:styleId="CommentSubject">
    <w:name w:val="annotation subject"/>
    <w:basedOn w:val="CommentText"/>
    <w:next w:val="CommentText"/>
    <w:link w:val="CommentSubjectChar"/>
    <w:rsid w:val="00FF7676"/>
    <w:rPr>
      <w:b/>
      <w:bCs/>
    </w:rPr>
  </w:style>
  <w:style w:type="character" w:customStyle="1" w:styleId="CommentSubjectChar">
    <w:name w:val="Comment Subject Char"/>
    <w:basedOn w:val="CommentTextChar"/>
    <w:link w:val="CommentSubject"/>
    <w:rsid w:val="00FF76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053FEC0D1C34B40838726410B2F530F"/>
        <w:category>
          <w:name w:val="General"/>
          <w:gallery w:val="placeholder"/>
        </w:category>
        <w:types>
          <w:type w:val="bbPlcHdr"/>
        </w:types>
        <w:behaviors>
          <w:behavior w:val="content"/>
        </w:behaviors>
        <w:guid w:val="{6167729B-8CC0-4AD7-994B-219EA1E13044}"/>
      </w:docPartPr>
      <w:docPartBody>
        <w:p w:rsidR="00374215" w:rsidRDefault="00374215">
          <w:pPr>
            <w:pStyle w:val="E053FEC0D1C34B40838726410B2F530F"/>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215"/>
    <w:rsid w:val="0018171A"/>
    <w:rsid w:val="00374215"/>
    <w:rsid w:val="007D54D4"/>
    <w:rsid w:val="00FF5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4215"/>
    <w:rPr>
      <w:color w:val="808080"/>
    </w:rPr>
  </w:style>
  <w:style w:type="paragraph" w:customStyle="1" w:styleId="E053FEC0D1C34B40838726410B2F530F">
    <w:name w:val="E053FEC0D1C34B40838726410B2F53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B566FE3-51F8-4B74-AE04-C8D3C8DDB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1884</Words>
  <Characters>10023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2024-04-01T17:58:00Z</dcterms:created>
  <dcterms:modified xsi:type="dcterms:W3CDTF">2024-04-01T18:46:00Z</dcterms:modified>
</cp:coreProperties>
</file>